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403225</wp:posOffset>
            </wp:positionV>
            <wp:extent cx="6755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428625</wp:posOffset>
            </wp:positionV>
            <wp:extent cx="6755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820" w:hanging="432"/>
        <w:spacing w:after="0" w:line="230" w:lineRule="auto"/>
        <w:tabs>
          <w:tab w:leader="none" w:pos="820" w:val="left"/>
        </w:tabs>
        <w:numPr>
          <w:ilvl w:val="0"/>
          <w:numId w:val="1"/>
        </w:numPr>
        <w:rPr>
          <w:rFonts w:ascii="MS PGothic" w:cs="MS PGothic" w:eastAsia="MS PGothic" w:hAnsi="MS PGothic"/>
          <w:sz w:val="64"/>
          <w:szCs w:val="64"/>
          <w:color w:val="auto"/>
          <w:vertAlign w:val="subscript"/>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4"/>
          <w:szCs w:val="34"/>
          <w:b w:val="1"/>
          <w:bCs w:val="1"/>
          <w:color w:val="auto"/>
          <w:vertAlign w:val="subscript"/>
        </w:rPr>
        <w:t>OF1934</w:t>
      </w:r>
      <w:r>
        <w:rPr>
          <w:rFonts w:ascii="Times New Roman" w:cs="Times New Roman" w:eastAsia="Times New Roman" w:hAnsi="Times New Roman"/>
          <w:sz w:val="20"/>
          <w:szCs w:val="20"/>
          <w:b w:val="1"/>
          <w:bCs w:val="1"/>
          <w:color w:val="auto"/>
        </w:rPr>
        <w:t xml:space="preserve"> REPORT PURSUANT TO SECTION 13 OR 15(d) OF THE SECURITIES EXCHANGE ACT</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800" w:hanging="418"/>
        <w:spacing w:after="0" w:line="238" w:lineRule="auto"/>
        <w:tabs>
          <w:tab w:leader="none" w:pos="800" w:val="left"/>
        </w:tabs>
        <w:numPr>
          <w:ilvl w:val="0"/>
          <w:numId w:val="2"/>
        </w:numPr>
        <w:rPr>
          <w:rFonts w:ascii="MS PGothic" w:cs="MS PGothic" w:eastAsia="MS PGothic" w:hAnsi="MS PGothic"/>
          <w:sz w:val="62"/>
          <w:szCs w:val="62"/>
          <w:color w:val="auto"/>
          <w:vertAlign w:val="subscript"/>
        </w:rPr>
      </w:pPr>
      <w:r>
        <w:rPr>
          <w:rFonts w:ascii="Times New Roman" w:cs="Times New Roman" w:eastAsia="Times New Roman" w:hAnsi="Times New Roman"/>
          <w:sz w:val="19"/>
          <w:szCs w:val="19"/>
          <w:b w:val="1"/>
          <w:bCs w:val="1"/>
          <w:color w:val="auto"/>
        </w:rPr>
        <w:t>TRANSITION</w:t>
      </w:r>
      <w:r>
        <w:rPr>
          <w:rFonts w:ascii="Times New Roman" w:cs="Times New Roman" w:eastAsia="Times New Roman" w:hAnsi="Times New Roman"/>
          <w:sz w:val="34"/>
          <w:szCs w:val="34"/>
          <w:b w:val="1"/>
          <w:bCs w:val="1"/>
          <w:color w:val="auto"/>
          <w:vertAlign w:val="subscript"/>
        </w:rPr>
        <w:t>OF1934</w:t>
      </w:r>
      <w:r>
        <w:rPr>
          <w:rFonts w:ascii="Times New Roman" w:cs="Times New Roman" w:eastAsia="Times New Roman" w:hAnsi="Times New Roman"/>
          <w:sz w:val="19"/>
          <w:szCs w:val="19"/>
          <w:b w:val="1"/>
          <w:bCs w:val="1"/>
          <w:color w:val="auto"/>
        </w:rPr>
        <w:t xml:space="preserve"> REPORT PURSUANT TO SECTION 13 OR 15(d) OF THE SECURITIES EXCHANGE ACT</w:t>
      </w:r>
    </w:p>
    <w:p>
      <w:pPr>
        <w:spacing w:after="0" w:line="98" w:lineRule="exact"/>
        <w:rPr>
          <w:sz w:val="24"/>
          <w:szCs w:val="24"/>
          <w:color w:val="auto"/>
        </w:rPr>
      </w:pPr>
    </w:p>
    <w:p>
      <w:pPr>
        <w:ind w:left="372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3938905</wp:posOffset>
            </wp:positionH>
            <wp:positionV relativeFrom="paragraph">
              <wp:posOffset>-20320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000-23554</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StoneX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860" w:type="dxa"/>
            <w:vAlign w:val="bottom"/>
          </w:tcPr>
          <w:p>
            <w:pPr>
              <w:jc w:val="center"/>
              <w:ind w:left="161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40" w:type="dxa"/>
            <w:vAlign w:val="bottom"/>
          </w:tcPr>
          <w:p>
            <w:pPr>
              <w:jc w:val="center"/>
              <w:ind w:right="1497"/>
              <w:spacing w:after="0"/>
              <w:rPr>
                <w:sz w:val="20"/>
                <w:szCs w:val="20"/>
                <w:color w:val="auto"/>
              </w:rPr>
            </w:pPr>
            <w:r>
              <w:rPr>
                <w:rFonts w:ascii="Times New Roman" w:cs="Times New Roman" w:eastAsia="Times New Roman" w:hAnsi="Times New Roman"/>
                <w:sz w:val="18"/>
                <w:szCs w:val="18"/>
                <w:b w:val="1"/>
                <w:bCs w:val="1"/>
                <w:color w:val="auto"/>
              </w:rPr>
              <w:t>59-2921318</w:t>
            </w:r>
          </w:p>
        </w:tc>
      </w:tr>
      <w:tr>
        <w:trPr>
          <w:trHeight w:val="146"/>
        </w:trPr>
        <w:tc>
          <w:tcPr>
            <w:tcW w:w="3860" w:type="dxa"/>
            <w:vAlign w:val="bottom"/>
          </w:tcPr>
          <w:p>
            <w:pPr>
              <w:jc w:val="center"/>
              <w:ind w:left="161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40" w:type="dxa"/>
            <w:vAlign w:val="bottom"/>
          </w:tcPr>
          <w:p>
            <w:pPr>
              <w:jc w:val="center"/>
              <w:ind w:right="1497"/>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left="161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40" w:type="dxa"/>
            <w:vAlign w:val="bottom"/>
          </w:tcPr>
          <w:p>
            <w:pPr>
              <w:jc w:val="center"/>
              <w:ind w:right="14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3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230 Park Ave, 10th Floor</w:t>
            </w:r>
          </w:p>
        </w:tc>
        <w:tc>
          <w:tcPr>
            <w:tcW w:w="3940" w:type="dxa"/>
            <w:vAlign w:val="bottom"/>
          </w:tcPr>
          <w:p>
            <w:pPr>
              <w:spacing w:after="0"/>
              <w:rPr>
                <w:sz w:val="24"/>
                <w:szCs w:val="24"/>
                <w:color w:val="auto"/>
              </w:rPr>
            </w:pPr>
          </w:p>
        </w:tc>
      </w:tr>
      <w:tr>
        <w:trPr>
          <w:trHeight w:val="214"/>
        </w:trPr>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New York, NY 10169</w:t>
            </w:r>
          </w:p>
        </w:tc>
        <w:tc>
          <w:tcPr>
            <w:tcW w:w="3940" w:type="dxa"/>
            <w:vAlign w:val="bottom"/>
          </w:tcPr>
          <w:p>
            <w:pPr>
              <w:spacing w:after="0"/>
              <w:rPr>
                <w:sz w:val="18"/>
                <w:szCs w:val="18"/>
                <w:color w:val="auto"/>
              </w:rPr>
            </w:pPr>
          </w:p>
        </w:tc>
      </w:tr>
      <w:tr>
        <w:trPr>
          <w:trHeight w:val="190"/>
        </w:trPr>
        <w:tc>
          <w:tcPr>
            <w:tcW w:w="3860" w:type="dxa"/>
            <w:vAlign w:val="bottom"/>
          </w:tcPr>
          <w:p>
            <w:pPr>
              <w:spacing w:after="0"/>
              <w:rPr>
                <w:sz w:val="16"/>
                <w:szCs w:val="16"/>
                <w:color w:val="auto"/>
              </w:rPr>
            </w:pPr>
          </w:p>
        </w:tc>
        <w:tc>
          <w:tcPr>
            <w:tcW w:w="3420" w:type="dxa"/>
            <w:vAlign w:val="bottom"/>
            <w:gridSpan w:val="5"/>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940" w:type="dxa"/>
            <w:vAlign w:val="bottom"/>
          </w:tcPr>
          <w:p>
            <w:pPr>
              <w:spacing w:after="0"/>
              <w:rPr>
                <w:sz w:val="16"/>
                <w:szCs w:val="16"/>
                <w:color w:val="auto"/>
              </w:rPr>
            </w:pPr>
          </w:p>
        </w:tc>
      </w:tr>
      <w:tr>
        <w:trPr>
          <w:trHeight w:val="255"/>
        </w:trPr>
        <w:tc>
          <w:tcPr>
            <w:tcW w:w="3860" w:type="dxa"/>
            <w:vAlign w:val="bottom"/>
          </w:tcPr>
          <w:p>
            <w:pPr>
              <w:spacing w:after="0"/>
              <w:rPr>
                <w:sz w:val="22"/>
                <w:szCs w:val="22"/>
                <w:color w:val="auto"/>
              </w:rPr>
            </w:pPr>
          </w:p>
        </w:tc>
        <w:tc>
          <w:tcPr>
            <w:tcW w:w="2800" w:type="dxa"/>
            <w:vAlign w:val="bottom"/>
            <w:gridSpan w:val="3"/>
          </w:tcPr>
          <w:p>
            <w:pPr>
              <w:jc w:val="center"/>
              <w:ind w:left="642"/>
              <w:spacing w:after="0"/>
              <w:rPr>
                <w:sz w:val="20"/>
                <w:szCs w:val="20"/>
                <w:color w:val="auto"/>
              </w:rPr>
            </w:pPr>
            <w:r>
              <w:rPr>
                <w:rFonts w:ascii="Times New Roman" w:cs="Times New Roman" w:eastAsia="Times New Roman" w:hAnsi="Times New Roman"/>
                <w:sz w:val="18"/>
                <w:szCs w:val="18"/>
                <w:b w:val="1"/>
                <w:bCs w:val="1"/>
                <w:color w:val="auto"/>
                <w:w w:val="99"/>
              </w:rPr>
              <w:t>(212) 485-3500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940" w:type="dxa"/>
            <w:vAlign w:val="bottom"/>
          </w:tcPr>
          <w:p>
            <w:pPr>
              <w:spacing w:after="0"/>
              <w:rPr>
                <w:sz w:val="22"/>
                <w:szCs w:val="22"/>
                <w:color w:val="auto"/>
              </w:rPr>
            </w:pPr>
          </w:p>
        </w:tc>
      </w:tr>
      <w:tr>
        <w:trPr>
          <w:trHeight w:val="190"/>
        </w:trPr>
        <w:tc>
          <w:tcPr>
            <w:tcW w:w="3860" w:type="dxa"/>
            <w:vAlign w:val="bottom"/>
          </w:tcPr>
          <w:p>
            <w:pPr>
              <w:spacing w:after="0"/>
              <w:rPr>
                <w:sz w:val="16"/>
                <w:szCs w:val="16"/>
                <w:color w:val="auto"/>
              </w:rPr>
            </w:pPr>
          </w:p>
        </w:tc>
        <w:tc>
          <w:tcPr>
            <w:tcW w:w="3420" w:type="dxa"/>
            <w:vAlign w:val="bottom"/>
            <w:gridSpan w:val="5"/>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40" w:type="dxa"/>
            <w:vAlign w:val="bottom"/>
          </w:tcPr>
          <w:p>
            <w:pPr>
              <w:spacing w:after="0"/>
              <w:rPr>
                <w:sz w:val="16"/>
                <w:szCs w:val="16"/>
                <w:color w:val="auto"/>
              </w:rPr>
            </w:pPr>
          </w:p>
        </w:tc>
      </w:tr>
      <w:tr>
        <w:trPr>
          <w:trHeight w:val="469"/>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40" w:type="dxa"/>
            <w:vAlign w:val="bottom"/>
          </w:tcPr>
          <w:p>
            <w:pPr>
              <w:spacing w:after="0"/>
              <w:rPr>
                <w:sz w:val="24"/>
                <w:szCs w:val="24"/>
                <w:color w:val="auto"/>
              </w:rPr>
            </w:pPr>
          </w:p>
        </w:tc>
      </w:tr>
      <w:tr>
        <w:trPr>
          <w:trHeight w:val="391"/>
        </w:trPr>
        <w:tc>
          <w:tcPr>
            <w:tcW w:w="3860" w:type="dxa"/>
            <w:vAlign w:val="bottom"/>
          </w:tcPr>
          <w:p>
            <w:pPr>
              <w:jc w:val="center"/>
              <w:ind w:left="496"/>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40" w:type="dxa"/>
            <w:vAlign w:val="bottom"/>
          </w:tcPr>
          <w:p>
            <w:pPr>
              <w:jc w:val="center"/>
              <w:ind w:right="43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60" w:type="dxa"/>
            <w:vAlign w:val="bottom"/>
            <w:tcBorders>
              <w:top w:val="single" w:sz="8" w:color="auto"/>
            </w:tcBorders>
          </w:tcPr>
          <w:p>
            <w:pPr>
              <w:jc w:val="center"/>
              <w:ind w:left="496"/>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SNEX</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940" w:type="dxa"/>
            <w:vAlign w:val="bottom"/>
            <w:tcBorders>
              <w:top w:val="single" w:sz="8" w:color="auto"/>
            </w:tcBorders>
          </w:tcPr>
          <w:p>
            <w:pPr>
              <w:jc w:val="center"/>
              <w:ind w:right="437"/>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4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pacing w:after="0" w:line="74" w:lineRule="exact"/>
        <w:rPr>
          <w:sz w:val="24"/>
          <w:szCs w:val="24"/>
          <w:color w:val="auto"/>
        </w:rPr>
      </w:pPr>
    </w:p>
    <w:tbl>
      <w:tblPr>
        <w:tblLayout w:type="fixed"/>
        <w:tblInd w:w="1080" w:type="dxa"/>
        <w:tblCellMar>
          <w:top w:w="0" w:type="dxa"/>
          <w:left w:w="0" w:type="dxa"/>
          <w:bottom w:w="0" w:type="dxa"/>
          <w:right w:w="0" w:type="dxa"/>
        </w:tblCellMar>
      </w:tblP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x</w:t>
            </w:r>
          </w:p>
        </w:tc>
        <w:tc>
          <w:tcPr>
            <w:tcW w:w="47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4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tc>
        <w:tc>
          <w:tcPr>
            <w:tcW w:w="47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4260" w:type="dxa"/>
            <w:vAlign w:val="bottom"/>
          </w:tcPr>
          <w:p>
            <w:pPr>
              <w:spacing w:after="0"/>
              <w:rPr>
                <w:sz w:val="23"/>
                <w:szCs w:val="23"/>
                <w:color w:val="auto"/>
              </w:rPr>
            </w:pPr>
          </w:p>
        </w:tc>
        <w:tc>
          <w:tcPr>
            <w:tcW w:w="47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4, 2025, there were 52,164,564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917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6917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Quarterly Period Ended June 30,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3"/>
        </w:trPr>
        <w:tc>
          <w:tcPr>
            <w:tcW w:w="92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4780" w:type="dxa"/>
            <w:vAlign w:val="bottom"/>
            <w:gridSpan w:val="8"/>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Income Statements</w:t>
            </w:r>
          </w:p>
        </w:tc>
        <w:tc>
          <w:tcPr>
            <w:tcW w:w="4500" w:type="dxa"/>
            <w:vAlign w:val="bottom"/>
            <w:gridSpan w:val="7"/>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860" w:type="dxa"/>
            <w:vAlign w:val="bottom"/>
            <w:gridSpan w:val="4"/>
          </w:tcPr>
          <w:p>
            <w:pPr>
              <w:spacing w:after="0"/>
              <w:rPr>
                <w:sz w:val="22"/>
                <w:szCs w:val="22"/>
                <w:color w:val="auto"/>
              </w:rPr>
            </w:pPr>
          </w:p>
        </w:tc>
        <w:tc>
          <w:tcPr>
            <w:tcW w:w="3140" w:type="dxa"/>
            <w:vAlign w:val="bottom"/>
            <w:gridSpan w:val="2"/>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3320" w:type="dxa"/>
            <w:vAlign w:val="bottom"/>
            <w:gridSpan w:val="3"/>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00" w:type="dxa"/>
            <w:vAlign w:val="bottom"/>
            <w:gridSpan w:val="2"/>
          </w:tcPr>
          <w:p>
            <w:pPr>
              <w:spacing w:after="0"/>
              <w:rPr>
                <w:sz w:val="22"/>
                <w:szCs w:val="22"/>
                <w:color w:val="auto"/>
              </w:rPr>
            </w:pPr>
          </w:p>
        </w:tc>
        <w:tc>
          <w:tcPr>
            <w:tcW w:w="3320" w:type="dxa"/>
            <w:vAlign w:val="bottom"/>
            <w:gridSpan w:val="3"/>
          </w:tcPr>
          <w:p>
            <w:pPr>
              <w:spacing w:after="0"/>
              <w:rPr>
                <w:sz w:val="22"/>
                <w:szCs w:val="22"/>
                <w:color w:val="auto"/>
              </w:rPr>
            </w:pP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77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3"/>
          </w:tcPr>
          <w:p>
            <w:pPr>
              <w:spacing w:after="0"/>
              <w:rPr>
                <w:sz w:val="22"/>
                <w:szCs w:val="22"/>
                <w:color w:val="auto"/>
              </w:rPr>
            </w:pPr>
          </w:p>
        </w:tc>
        <w:tc>
          <w:tcPr>
            <w:tcW w:w="1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40" w:type="dxa"/>
            <w:vAlign w:val="bottom"/>
            <w:gridSpan w:val="6"/>
          </w:tcPr>
          <w:p>
            <w:pPr>
              <w:spacing w:after="0"/>
              <w:rPr>
                <w:sz w:val="22"/>
                <w:szCs w:val="22"/>
                <w:color w:val="auto"/>
              </w:rPr>
            </w:pPr>
          </w:p>
        </w:tc>
        <w:tc>
          <w:tcPr>
            <w:tcW w:w="3400" w:type="dxa"/>
            <w:vAlign w:val="bottom"/>
            <w:gridSpan w:val="4"/>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400" w:type="dxa"/>
            <w:vAlign w:val="bottom"/>
            <w:gridSpan w:val="11"/>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0" w:type="dxa"/>
            <w:vAlign w:val="bottom"/>
            <w:gridSpan w:val="11"/>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400" w:type="dxa"/>
            <w:vAlign w:val="bottom"/>
            <w:gridSpan w:val="4"/>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00" w:type="dxa"/>
            <w:vAlign w:val="bottom"/>
            <w:gridSpan w:val="7"/>
          </w:tcPr>
          <w:p>
            <w:pPr>
              <w:spacing w:after="0"/>
              <w:rPr>
                <w:sz w:val="22"/>
                <w:szCs w:val="22"/>
                <w:color w:val="auto"/>
              </w:rPr>
            </w:pPr>
          </w:p>
        </w:tc>
        <w:tc>
          <w:tcPr>
            <w:tcW w:w="3400" w:type="dxa"/>
            <w:vAlign w:val="bottom"/>
            <w:gridSpan w:val="4"/>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0" w:type="dxa"/>
            <w:vAlign w:val="bottom"/>
            <w:gridSpan w:val="11"/>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1243"/>
        </w:trPr>
        <w:tc>
          <w:tcPr>
            <w:tcW w:w="34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par value and share amounts)</w:t>
            </w: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862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1,269.0</w:t>
            </w:r>
          </w:p>
        </w:tc>
        <w:tc>
          <w:tcPr>
            <w:tcW w:w="0" w:type="dxa"/>
            <w:vAlign w:val="bottom"/>
          </w:tcPr>
          <w:p>
            <w:pPr>
              <w:spacing w:after="0"/>
              <w:rPr>
                <w:sz w:val="1"/>
                <w:szCs w:val="1"/>
                <w:color w:val="auto"/>
              </w:rPr>
            </w:pPr>
          </w:p>
        </w:tc>
      </w:tr>
      <w:tr>
        <w:trPr>
          <w:trHeight w:val="146"/>
        </w:trPr>
        <w:tc>
          <w:tcPr>
            <w:tcW w:w="86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 (including $13.4 million and $51.8 million at fair value at June 30,</w:t>
            </w: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2,841.2</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and September 30, 2024, respectively)</w:t>
            </w: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5,201.5</w:t>
            </w:r>
          </w:p>
        </w:tc>
        <w:tc>
          <w:tcPr>
            <w:tcW w:w="0" w:type="dxa"/>
            <w:vAlign w:val="bottom"/>
          </w:tcPr>
          <w:p>
            <w:pPr>
              <w:spacing w:after="0"/>
              <w:rPr>
                <w:sz w:val="1"/>
                <w:szCs w:val="1"/>
                <w:color w:val="auto"/>
              </w:rPr>
            </w:pPr>
          </w:p>
        </w:tc>
      </w:tr>
      <w:tr>
        <w:trPr>
          <w:trHeight w:val="195"/>
        </w:trPr>
        <w:tc>
          <w:tcPr>
            <w:tcW w:w="8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Securities borrowed</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1,662.3</w:t>
            </w:r>
          </w:p>
        </w:tc>
        <w:tc>
          <w:tcPr>
            <w:tcW w:w="0" w:type="dxa"/>
            <w:vAlign w:val="bottom"/>
          </w:tcPr>
          <w:p>
            <w:pPr>
              <w:spacing w:after="0"/>
              <w:rPr>
                <w:sz w:val="1"/>
                <w:szCs w:val="1"/>
                <w:color w:val="auto"/>
              </w:rPr>
            </w:pPr>
          </w:p>
        </w:tc>
      </w:tr>
      <w:tr>
        <w:trPr>
          <w:trHeight w:val="146"/>
        </w:trPr>
        <w:tc>
          <w:tcPr>
            <w:tcW w:w="86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 (including $3,250.6 million and $3,287.5 million</w:t>
            </w: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7,283.2</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fair value at June 30, 2025 and September 30, 2024, respectively)</w:t>
            </w: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clients, net (including $18.2 million and $(8.4) million at fair value at June 30, 2025 and September 30, 2024, respectively)</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1,013.1</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39"/>
        </w:trPr>
        <w:tc>
          <w:tcPr>
            <w:tcW w:w="8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Financial instruments owned, at fair value (includes securities pledged as collateral that can be sold or repledged of $2,223.7 million and</w:t>
            </w:r>
          </w:p>
        </w:tc>
        <w:tc>
          <w:tcPr>
            <w:tcW w:w="2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8,973.9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6,767.1</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$2,172.0 million at June 30, 2025 and September 30, 2024, respectively)</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Physical commodities inventory, net (including $397.0 million and $376.6 million at fair value at June 30, 2025 and September 30, 2024,</w:t>
            </w: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27,466.3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84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86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Accounts payable and other accrued liabilities (including $2.6 million and $2.3 million at fair value at June 30, 2025 and September 30, 2024,</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0" w:type="dxa"/>
            <w:vAlign w:val="bottom"/>
          </w:tcPr>
          <w:p>
            <w:pPr>
              <w:spacing w:after="0"/>
              <w:rPr>
                <w:sz w:val="1"/>
                <w:szCs w:val="1"/>
                <w:color w:val="auto"/>
              </w:rPr>
            </w:pPr>
          </w:p>
        </w:tc>
      </w:tr>
      <w:tr>
        <w:trPr>
          <w:trHeight w:val="193"/>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Payables to:</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Clients (including $(103.5) million and $265.9 million at fair value at June 30, 2025 and September 30, 2024, respectively)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10,345.9</w:t>
            </w:r>
          </w:p>
        </w:tc>
        <w:tc>
          <w:tcPr>
            <w:tcW w:w="0" w:type="dxa"/>
            <w:vAlign w:val="bottom"/>
          </w:tcPr>
          <w:p>
            <w:pPr>
              <w:spacing w:after="0"/>
              <w:rPr>
                <w:sz w:val="1"/>
                <w:szCs w:val="1"/>
                <w:color w:val="auto"/>
              </w:rPr>
            </w:pPr>
          </w:p>
        </w:tc>
      </w:tr>
      <w:tr>
        <w:trPr>
          <w:trHeight w:val="139"/>
        </w:trPr>
        <w:tc>
          <w:tcPr>
            <w:tcW w:w="862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rPr>
              <w:t>Broker-dealers, clearing organizations and counterparties (including $(134.2) million and $(1.4) million at fair value at June 30, 2025 and</w:t>
            </w:r>
          </w:p>
        </w:tc>
        <w:tc>
          <w:tcPr>
            <w:tcW w:w="2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734.2</w:t>
            </w:r>
          </w:p>
        </w:tc>
        <w:tc>
          <w:tcPr>
            <w:tcW w:w="0" w:type="dxa"/>
            <w:vAlign w:val="bottom"/>
          </w:tcPr>
          <w:p>
            <w:pPr>
              <w:spacing w:after="0"/>
              <w:rPr>
                <w:sz w:val="1"/>
                <w:szCs w:val="1"/>
                <w:color w:val="auto"/>
              </w:rPr>
            </w:pPr>
          </w:p>
        </w:tc>
      </w:tr>
      <w:tr>
        <w:trPr>
          <w:trHeight w:val="193"/>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September 30, 2024, respectively)</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Lenders under loans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8,581.3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2,853.3</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25,757.2</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 shares issued or outstanding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86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Common stock, $0.01 par value. Authorized 200,000,000 shares; 54,895,685 issued and 49,029,208 outstanding at June 30, 2025 and</w:t>
            </w: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8"/>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53,678,016 issued and 47,811,539 outstanding at September 30, 2024</w:t>
            </w: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in treasury, at cost. 5,866,477 shares at June 30, 2025 and September 30, 2024</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1,709.1</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27,466.3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8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33,839.9</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26,196.2</w:t>
            </w:r>
          </w:p>
        </w:tc>
        <w:tc>
          <w:tcPr>
            <w:tcW w:w="2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96,883.6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66,339.0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442.7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34,828.8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27,069.7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68,748.8</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33,804.5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26,156.0</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96,730.2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66,232.7</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792.2</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Net operating revenues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1,312.4</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and other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debts (recoveries),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(loss) gains, net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tax</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95"/>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number of common shares outstanding: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47,115,819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45,964,905</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46,773,656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45,673,929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49,952,164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47,614,548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49,302,730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47,231,055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gain/(loss), net of tax:</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Cash flow hedges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gain/(loss), net of tax</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24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right of use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(recoveries),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 net: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and other assets segregated under federal and other regulations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borrowed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Receivables from clients,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Physical commodities inventory,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Payables to clients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Payables to broker-dealers, clearing organizations, and counterparties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2,545.3</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0" w:type="dxa"/>
            <w:vAlign w:val="bottom"/>
          </w:tcPr>
          <w:p>
            <w:pPr>
              <w:spacing w:after="0"/>
              <w:rPr>
                <w:sz w:val="1"/>
                <w:szCs w:val="1"/>
                <w:color w:val="auto"/>
              </w:rPr>
            </w:pPr>
          </w:p>
        </w:tc>
      </w:tr>
      <w:tr>
        <w:trPr>
          <w:trHeight w:val="189"/>
        </w:trPr>
        <w:tc>
          <w:tcPr>
            <w:tcW w:w="84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notes receivable</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businesses and assets, net of cash received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 of exchange memberships and common stock</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89"/>
        </w:trPr>
        <w:tc>
          <w:tcPr>
            <w:tcW w:w="84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change in payables to lenders under loans with maturities 90 days or less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payables to lenders under loans with maturities greater than 90 days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Repayments of payables to lenders under loans with maturities greater than 90 days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issuance of senior secured notes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 of senior secured notes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payments on acquisitions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segregated cash, cash equivalents, and segregated cash equivalents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segregated cash, cash equivalents, and segregated cash equivalents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beginning of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6,672.6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6,041.7</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Income taxes paid, net of cash refunds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consideration payable related to acquisition of customer list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Identified intangible assets and goodwill on acquisitions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Additional consideration payable related to acquisitions,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consideration paid in silver bullion</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Acquisition of business: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Assets acquired</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Liabilities assumed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net assets acquired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40"/>
          </w:cols>
          <w:pgMar w:left="320" w:top="121" w:right="339" w:bottom="484"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48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segregated cash, cash equivalents, and segregated cash equivalents reported within the Condensed Consolidated Balance Sheets.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1,220.8</w:t>
            </w:r>
          </w:p>
        </w:tc>
        <w:tc>
          <w:tcPr>
            <w:tcW w:w="0" w:type="dxa"/>
            <w:vAlign w:val="bottom"/>
          </w:tcPr>
          <w:p>
            <w:pPr>
              <w:spacing w:after="0"/>
              <w:rPr>
                <w:sz w:val="1"/>
                <w:szCs w:val="1"/>
                <w:color w:val="auto"/>
              </w:rPr>
            </w:pPr>
          </w:p>
        </w:tc>
      </w:tr>
      <w:tr>
        <w:trPr>
          <w:trHeight w:val="203"/>
        </w:trPr>
        <w:tc>
          <w:tcPr>
            <w:tcW w:w="86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Cash segregated under federal and other regulations</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Cash segregated and deposited with or pledged to exchange-clearing organizations and other futures commission merchants (“FCMs”)</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1,535.1</w:t>
            </w:r>
          </w:p>
        </w:tc>
        <w:tc>
          <w:tcPr>
            <w:tcW w:w="0" w:type="dxa"/>
            <w:vAlign w:val="bottom"/>
          </w:tcPr>
          <w:p>
            <w:pPr>
              <w:spacing w:after="0"/>
              <w:rPr>
                <w:sz w:val="1"/>
                <w:szCs w:val="1"/>
                <w:color w:val="auto"/>
              </w:rPr>
            </w:pPr>
          </w:p>
        </w:tc>
      </w:tr>
      <w:tr>
        <w:trPr>
          <w:trHeight w:val="203"/>
        </w:trPr>
        <w:tc>
          <w:tcPr>
            <w:tcW w:w="862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Securities segregated and pledged to exchange-clearing organizations</w:t>
            </w:r>
            <w:r>
              <w:rPr>
                <w:rFonts w:ascii="Times New Roman" w:cs="Times New Roman" w:eastAsia="Times New Roman" w:hAnsi="Times New Roman"/>
                <w:sz w:val="18"/>
                <w:szCs w:val="18"/>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segregated cash, cash equivalents, and segregated cash equivalents shown in the condensed consolidated statements of cash flows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6,378.3</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8"/>
        <w:spacing w:after="0" w:line="237" w:lineRule="auto"/>
        <w:tabs>
          <w:tab w:leader="none" w:pos="177"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Represents segregated client cash held at third-party banks. Excludes segregated commodity warehouse receipts, segregated U.S. Treasury obligations with original or acquired maturities of greater than 90 days, and other assets of $13.4 million and $48.4 million as of June 30, 2025 and 2024, respectively, included within </w:t>
      </w:r>
      <w:r>
        <w:rPr>
          <w:rFonts w:ascii="Times New Roman" w:cs="Times New Roman" w:eastAsia="Times New Roman" w:hAnsi="Times New Roman"/>
          <w:sz w:val="16"/>
          <w:szCs w:val="16"/>
          <w:i w:val="1"/>
          <w:iCs w:val="1"/>
          <w:color w:val="auto"/>
        </w:rPr>
        <w:t>Cash, securities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other assets segregated under federal and other regulations </w:t>
      </w:r>
      <w:r>
        <w:rPr>
          <w:rFonts w:ascii="Times New Roman" w:cs="Times New Roman" w:eastAsia="Times New Roman" w:hAnsi="Times New Roman"/>
          <w:sz w:val="16"/>
          <w:szCs w:val="16"/>
          <w:color w:val="auto"/>
        </w:rPr>
        <w:t>on the Condensed Consolidated Balance Sheets.</w:t>
      </w:r>
    </w:p>
    <w:p>
      <w:pPr>
        <w:spacing w:after="0" w:line="221" w:lineRule="exact"/>
        <w:rPr>
          <w:rFonts w:ascii="Times New Roman" w:cs="Times New Roman" w:eastAsia="Times New Roman" w:hAnsi="Times New Roman"/>
          <w:sz w:val="21"/>
          <w:szCs w:val="21"/>
          <w:color w:val="auto"/>
          <w:vertAlign w:val="superscript"/>
        </w:rPr>
      </w:pPr>
    </w:p>
    <w:p>
      <w:pPr>
        <w:jc w:val="both"/>
        <w:ind w:firstLine="8"/>
        <w:spacing w:after="0" w:line="244" w:lineRule="auto"/>
        <w:tabs>
          <w:tab w:leader="none" w:pos="176"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Represents segregated client cash and U.S. Treasury obligations on deposit with, or pledged to, exchange clearing organizations and other FCMs. Excludes non-segregated cash, segregated U.S. Treasury obligations pledged to exchange-clearing organizations with original or acquired maturities greater than 90 days, and other assets of $4,631.5 million and $5,114.7 million as of June 30, 2025 and 2024, respectively, included within </w:t>
      </w:r>
      <w:r>
        <w:rPr>
          <w:rFonts w:ascii="Times New Roman" w:cs="Times New Roman" w:eastAsia="Times New Roman" w:hAnsi="Times New Roman"/>
          <w:sz w:val="16"/>
          <w:szCs w:val="16"/>
          <w:i w:val="1"/>
          <w:iCs w:val="1"/>
          <w:color w:val="auto"/>
        </w:rPr>
        <w:t>Deposits with and receivables from broker-dealers, clearing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organizations, and counterparties, net </w:t>
      </w:r>
      <w:r>
        <w:rPr>
          <w:rFonts w:ascii="Times New Roman" w:cs="Times New Roman" w:eastAsia="Times New Roman" w:hAnsi="Times New Roman"/>
          <w:sz w:val="16"/>
          <w:szCs w:val="16"/>
          <w:color w:val="auto"/>
        </w:rPr>
        <w:t>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7"/>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March 31, 2024</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June 30, 2024</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1,312.2</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7"/>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March 31, 2025</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1,545.7</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gain, net of tax</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June 30, 2025</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1,609.1</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1,978.8</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June 30, 2024</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2023</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1,128.1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gain, net of tax</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June 30, 2024</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1,312.2</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1,607.8</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June 30, 2025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net</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2024</w:t>
            </w: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1,388.9</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1,709.1</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gain, net of tax</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withheld to cover taxes on vesting of equity awards</w:t>
            </w:r>
          </w:p>
        </w:tc>
        <w:tc>
          <w:tcPr>
            <w:tcW w:w="42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 as of June 30, 2025</w:t>
            </w:r>
          </w:p>
        </w:tc>
        <w:tc>
          <w:tcPr>
            <w:tcW w:w="4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1,609.1</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1,978.8</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Consolidation and Accounting Standards Adopted</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StoneX Group Inc., a Delaware corporation, and its consolidated subsidiaries (collectively “StoneX” or “the Company”), is a global financial services network that connects companies, organizations, traders and investors to the global market ecosystem through a unique blend of digital platforms, end-to-end clearing and execution services, high touch service, and deep expertise.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trades on The NASDAQ Global Select Market under the symbol “SNEX”.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Balance Sheet as of September 30, 2024, which has been derived from the audited consolidated balance sheet as of September 30, 2024, and the unaudited interim condensed consolidated financial statements have been prepared pursuant to the rules and regulations of the Securities and Exchange Commission (“SEC”). Certain information and disclosures normally included in annual consolidated financial statements prepared in accordance with accounting principles generally accepted in the United States of America (“U.S. GAAP”) have been condensed or omitted pursuant to those rules and regulations. The Company believes that the included disclosures clearly and fairly present the information within. In management’s opinion, all adjustments, generally consisting of normal accruals, considered necessary to fairly present the condensed consolidated financial statements for the interim periods presented have been reflected as required by Rule 10-01 of Regulation S-X.</w:t>
      </w:r>
    </w:p>
    <w:p>
      <w:pPr>
        <w:spacing w:after="0" w:line="8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the full year. These condensed consolidated financial statements should be read in conjunction with the Company’s audited consolidated financial statements and related notes contained in the Company’s Annual Report on Form 10-K for the fiscal year ended September 30, 2024, as filed with the SEC.</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StoneX Group Inc. and all entities in which the Company has a controlling financial interest. All material intercompany transactions and balances have been eliminated in consolidation.</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Preparing condensed consolidated financial statements in conformity with U.S. GAAP requires management to make estimates and assumptions that affect the reported amounts of assets and liabilities, disclosure of contingent liabilities as of the date of the condensed consolidated financial statements and the reported amounts of revenue and expenses during the reporting period. The most significant of these estimates and assumptions in the current year relate to fair value measurements for financial instruments, revenue recognition, valuation of inventories, and income taxes. The Company reviews all significant estimates affecting the financial statements on a recurring basis and makes necessary adjustments in the financial statements presented within this Form 10-Q. Although these and other estimates and assumptions are based on the best available information, actual results could be materially different from estimates. Estimates and assumptions are based on management’s best knowledge of current events and actions the Company may undertake in the future, using information reasonably available to the Company as of June 30, 2025 and through the date of this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Commodities Inventory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JBR Recovery Limited assets and business acquisition, discussed and defined in Note 17, introduced stages of refining, such as raw materials, work in process, and completed goods. These are reported as components of </w:t>
      </w:r>
      <w:r>
        <w:rPr>
          <w:rFonts w:ascii="Times New Roman" w:cs="Times New Roman" w:eastAsia="Times New Roman" w:hAnsi="Times New Roman"/>
          <w:sz w:val="18"/>
          <w:szCs w:val="18"/>
          <w:i w:val="1"/>
          <w:iCs w:val="1"/>
          <w:color w:val="auto"/>
        </w:rPr>
        <w:t>Physical commodities inventory, net</w:t>
      </w:r>
      <w:r>
        <w:rPr>
          <w:rFonts w:ascii="Times New Roman" w:cs="Times New Roman" w:eastAsia="Times New Roman" w:hAnsi="Times New Roman"/>
          <w:sz w:val="18"/>
          <w:szCs w:val="18"/>
          <w:color w:val="auto"/>
        </w:rPr>
        <w:t xml:space="preserve"> on the Condensed Consolidated Balance Sheets. The Company’s valuation policy includes estimating the cost to complete refining the various stages into finished product, the type of materials being refined, along with the market prices of the finished product to arrive at the lower of cost or net realizable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Split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21, 2025, the Company completed a 3-for-2 split of its common stock, effected as a stock dividend entitling each shareholder of record to receive one additional share of common stock for every two shares owned. Additional shares issued as a result of the stock dividend were distributed after close of trading on March 21, 2025, to stockholders of record at the close of business on March 11, 2025. Cash was distributed in lieu of fractional shares based on the opening price of a share of common stock on March 12, 2025. All share and per share amounts contained herein have been retroactively adjusted for this stock split.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adopt any new accounting standards during the three and nine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income is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contain non-forfeitable rights to dividends at the same rate as common stock and are considered participating securities. Basic EPS has been computed by dividing net income by the weighted-average number of common shares outstanding.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per share computations for the periods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6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2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Less: Allocation to participating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9"/>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allocated to common stockholders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Weighted average number of:</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Common shares outstanding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47,115,819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45,964,905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46,773,656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45,673,929</w:t>
            </w:r>
          </w:p>
        </w:tc>
        <w:tc>
          <w:tcPr>
            <w:tcW w:w="0" w:type="dxa"/>
            <w:vAlign w:val="bottom"/>
          </w:tcPr>
          <w:p>
            <w:pPr>
              <w:spacing w:after="0"/>
              <w:rPr>
                <w:sz w:val="1"/>
                <w:szCs w:val="1"/>
                <w:color w:val="auto"/>
              </w:rPr>
            </w:pPr>
          </w:p>
        </w:tc>
      </w:tr>
      <w:tr>
        <w:trPr>
          <w:trHeight w:val="195"/>
        </w:trPr>
        <w:tc>
          <w:tcPr>
            <w:tcW w:w="5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Dilutive potential common shares outstanding:</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Share-based awards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2,836,345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1,649,643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2,529,074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1,557,126</w:t>
            </w:r>
          </w:p>
        </w:tc>
        <w:tc>
          <w:tcPr>
            <w:tcW w:w="0" w:type="dxa"/>
            <w:vAlign w:val="bottom"/>
          </w:tcPr>
          <w:p>
            <w:pPr>
              <w:spacing w:after="0"/>
              <w:rPr>
                <w:sz w:val="1"/>
                <w:szCs w:val="1"/>
                <w:color w:val="auto"/>
              </w:rPr>
            </w:pPr>
          </w:p>
        </w:tc>
      </w:tr>
      <w:tr>
        <w:trPr>
          <w:trHeight w:val="189"/>
        </w:trPr>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Diluted weighted-average common shares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49,952,164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47,614,548</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49,302,730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47,231,055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dilutive effect of share-based awards is reflected in diluted net income per share by applying the treasury stock method, which includes consideration of unamortized share-based compensation expense.</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Options to purchase 426,353 and 2,649,537 shares of common stock for the three months ended June 30, 2025 and 2024, respectively, were excluded from the calculation of diluted earnings per share as they would have been anti-dilutive. Options to purchase 520,684 and 2,325,246 shares of common stock for the nine months ended June 30, 2025 and 2024, respectively, were excluded from the calculation of diluted earnings per share as they would have been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Assets and Liabilities, at Fair Value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Fair value is defined by U.S. GAAP as the exchange price that would be received for an asset or paid to transfer a liability (an exit price) in the principal or most advantageous market for the asset or liability in an orderly transaction between willing market participants on the measurement date.</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Even when market assumptions are not readily available, the Company is required to develop a set of assumptions that reflect those that market participants would use in pricing an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designed independent price verification controls to validate relevant prices.</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participants. Observable inputs reflect the assumptions market participants would use in pricing the asset or liability developed based on market data obtained from sources independent of the reporting entity.</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Relevant guidance requires the Company to consider counterparty credit risk of all parties to outstanding derivative instruments that would be considered by a market participant in the transfer or settlement of such contracts (exit price). The Company’s exposure to credit risk on derivative financial instruments principally relates to the portfolio of Over-the-counter (“OTC”) derivative contracts as all exchange-traded contracts held can be settled on an active market with a credit guarantee from the respective exchange. The Company requires each counterparty to deposit margin collateral for all OTC instruments and is also required to deposit margin collateral with counterparties. The Company has assessed the nature of these deposits and used 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discretion to adjust each based on the underlying credit considerations for the counterparty and determined that the collateral deposits minimize the exposure to counterparty credit risk in the evaluation of the fair value of OTC instruments as determined by a market participant.</w:t>
      </w:r>
    </w:p>
    <w:p>
      <w:pPr>
        <w:spacing w:after="0" w:line="5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Financial Accounting Standards Board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Company groups its assets and liabilities measured at fair value in three levels based on the markets in which the assets and liabilities are traded and the reliability of the assumptions used to determine fair value. These levels are:</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Level 1 - Valuation is based upon unadjusted quoted prices in active markets that are accessible at the measurement date for identical, unrestricted assets or liabilities. Level 1 consists of financial assets and liabilities whose fair values are estimated using quoted market prices.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Level 2 - Valuation is based upon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Level 3 - Valuation is based on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Level 3 includes contingent liabilities that have been valued using an income approach based upon management developed discounted cash flow projections, which are an unobservable input.</w:t>
      </w:r>
    </w:p>
    <w:p>
      <w:pPr>
        <w:spacing w:after="0" w:line="6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and nonfinancial assets and liabilities that are carried on the Condensed Consolidated Balance Sheets at fair value on a recurring basis</w:t>
      </w:r>
    </w:p>
    <w:p>
      <w:pPr>
        <w:spacing w:after="0" w:line="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and cash equivalents reported at fair value on a recurring basis includes certificates of deposit and money market mutual funds, which are stated at cost plus accrued interest, which approximates fair value.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securities and other assets segregated under federal and other regulations reported at fair value on a recurring basis include the value of pledged investments, primarily U.S. Treasury obligations and commodities warehouse receipts.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and payable to clients and broker-dealers, clearing organizations and counterparties includes the fair value of pledged investments, primarily U.S. Treasury obligations and foreign government obligations. These balances also include the fair value of exchange-traded options on futures and OTC forwards, swaps and options.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Financial instruments owned and sold, not yet purchased include the fair value of equity securities, which includes common, preferred, and foreign ordinary shares, American Depository Receipts (“ADRs”), Global Depository Receipts (“GDRs”), and exchange-traded funds (“ETFs”), corporate and municipal bonds, U.S. Treasury obligations, U.S. government agency obligations, foreign government obligations, agency mortgage-backed obligations, asset-backed obligations, derivative financial instruments, commodities warehouse receipts, exchange firm common stock, and investments in managed funds. The fair value of exchange firm common stock is determined by quoted market prices.</w:t>
      </w:r>
    </w:p>
    <w:p>
      <w:pPr>
        <w:spacing w:after="0" w:line="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Cash equivalents, debt and equity securities, commodities warehouse receipts, physical commodities inventory, derivative financial instruments and contingent liabilities are carried at fair value, on a recurring basis, and are classified and disclosed into three levels in the fair value hierarchy.</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section describes the valuation methodologies used by the Company to measure classes of financial instruments at fair value and specifies the level within the fair value hierarchy where various financial instruments are classified.</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uses quoted prices in active markets, where available, and classifies instruments with such quotes within Level 1 of the fair value hierarchy. Examples include U.S. Treasury obligations, foreign government obligations, commodities warehouse receipts, certain equity securities traded in active markets, physical precious metals inventory held by a regulated broker-dealer subsidiary, exchange firm common stock, investments in managed funds, as well as options on futures contracts traded on national exchanges. The fair value of exchange firm common stock is determined by recent sale transactions and is included within Level 1.</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When instruments are traded in secondary markets and observable prices are not available for substantially the full term, the Company generally relies on internal valuation techniques based upon observable inputs for comparable financial instruments, or prices obtained from third-party pricing services or brokers or a combination thereof, and accordingly, classifies these instruments as Level 2. Examples include corporate and municipal bonds, U.S. government agency obligations, agency-mortgage backed obligations, asset-backed obligations, certain equity securities traded in less active markets, and OTC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contracts, which include purchase and sale commitments related to the Company’s foreign exchange, agricultural, and energy commodities.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derivatives without a quoted price in an active market and derivatives executed OTC are valued using internal valuation techniques, including pricing models which utilize significant inputs observable to market participants. The valuation techniques and inputs depend on the type of derivative and the nature of the underlying instrument. The key inputs depend upon the type of derivative and the nature of the underlying instrument and include interest yield curves, foreign exchange rates, commodity prices, volatilities and correlation. These derivative instruments are included within Level 2 of the fair value hierarchy.</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Physical commodities inventory includes precious metals that are a part of the trading activities of a regulated broker-dealer subsidiary. The physical commodities held by the broker-dealer are recorded at fair value using exchange-quoted prices. Physical commodities inventory also includes agricultural commodities that are a part of the trading activities of a non-broker dealer subsidiary and are recorded at net realizable value using exchange-quoted prices. The fair value of precious metals physical commodities inventory is based upon unadjusted exchange-quoted prices and is, therefore, classified within Level 1 of the fair value hierarchy. The fair value of agricultural physical commodities inventory and related OTC firm sale and purchase commitments are generally based upon exchange-quoted prices, adjusted for basis or differences in local markets, broker or dealer quotations or market transactions in either listed or OTC markets. Exchange-quoted prices are adjusted for location and quality because the exchange-quoted prices for agricultural and energy related products represent contracts that have standardized terms for commodity, quantity, future delivery period, delivery location, and commodity quality or grade. The basis or local market adjustments are observable inputs or have an insignificant impact on the measurement of fair value and, therefore, the agricultural physical commodities inventory, as well as the related OTC forward firm sale and purchase commitments have been included within Level 2 of the fair value hierarchy.</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the exception of certain derivative instruments where the valuation approach is disclosed above, financial instruments owned and sold are primarily valued using third-party pricing sources. Third-party pricing vendors compile prices from various sources and often apply matrix pricing for similar securities when market-observable transactions for the instruments are not observable for substantially the full term. The Company reviews the pricing methodologies used by third-party pricing vendors in order to evaluate the fair value hierarchy classification of vendor-priced financial instruments and the accuracy of vendor pricing, which typically involves comparing of primary vendor prices to internal trader prices or secondary vendor prices. When evaluating the propriety of vendor-priced financial instruments using secondary prices, considerations include the range and quality of vendor prices, level of observable transactions for identical and similar instruments, and judgments based upon knowledge of a particular market and asset class. If the primary vendor price does not represent fair value, justification for using a secondary price, including source data used to make the determination, is subject to review and approval by authorized personnel prior to using a secondary price. Financial instruments owned and sold that are valued using third party pricing sources are included within either Level 1 or Level 2 of the fair value hierarchy based upon the observability of the inputs used and the level of activity in the market.</w:t>
      </w:r>
    </w:p>
    <w:p>
      <w:pPr>
        <w:spacing w:after="0" w:line="8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June 30, 2025 and September 30, 2024 and through the dates of the respective reports. Although management is not aware of any factors that would significantly affect the estimated fair value amounts, such amounts have not been comprehensively revalued for purposes of these condensed consolidated financial statements since that date and current estimates of fair value may differ significantly from the amounts presented herein.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financial and nonfinancial assets and liabilities accounted for at fair value, on a recurring basis, as of June 30, 2025 and September 30, 2024 by level in the fair value hierarchy. All fair value measurements were performed on a recurring basis as of June 30, 2025 and September 30,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Certificates of deposit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17"/>
        </w:trPr>
        <w:tc>
          <w:tcPr>
            <w:tcW w:w="4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and other assets segregated under federal and other</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regulations</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3,291.9</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be announced and forward settling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17"/>
        </w:trPr>
        <w:tc>
          <w:tcPr>
            <w:tcW w:w="4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Deposits with and receivables from broker-dealers, clearing</w:t>
            </w: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5,978.5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2,847.7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(5,575.6)</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organizations and counterparties, net</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 from clients, net - Derivatives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9"/>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Mutual funds and other</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8,973.9</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8,173.9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11,224.8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payable and other accrued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Payables to clients - Derivatives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2,616.4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be announced and forward settling securities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r>
        <w:trPr>
          <w:trHeight w:val="124"/>
        </w:trPr>
        <w:tc>
          <w:tcPr>
            <w:tcW w:w="4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Payable to broker-dealers, clearing organizations and</w:t>
            </w:r>
          </w:p>
        </w:tc>
        <w:tc>
          <w:tcPr>
            <w:tcW w:w="2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(3,121.9)</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0" w:type="dxa"/>
            <w:vAlign w:val="bottom"/>
          </w:tcPr>
          <w:p>
            <w:pPr>
              <w:spacing w:after="0"/>
              <w:rPr>
                <w:sz w:val="1"/>
                <w:szCs w:val="1"/>
                <w:color w:val="auto"/>
              </w:rPr>
            </w:pPr>
          </w:p>
        </w:tc>
      </w:tr>
      <w:tr>
        <w:trPr>
          <w:trHeight w:val="20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counterparties</w:t>
            </w: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3,707.7</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6,027.2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4,101.4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(6,659.6)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540" w:right="3960" w:hanging="5532"/>
        <w:spacing w:after="0" w:line="923"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collateral and the impact of netting across each level of the fair value hierarchy.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28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Certificates of deposit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15"/>
        </w:trPr>
        <w:tc>
          <w:tcPr>
            <w:tcW w:w="42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Securities and other assets segregated under federal and other</w:t>
            </w: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regulations</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2,933.2</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 be announced and forward settling securities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(5,740.1)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0" w:type="dxa"/>
            <w:vAlign w:val="bottom"/>
          </w:tcPr>
          <w:p>
            <w:pPr>
              <w:spacing w:after="0"/>
              <w:rPr>
                <w:sz w:val="1"/>
                <w:szCs w:val="1"/>
                <w:color w:val="auto"/>
              </w:rPr>
            </w:pPr>
          </w:p>
        </w:tc>
      </w:tr>
      <w:tr>
        <w:trPr>
          <w:trHeight w:val="122"/>
        </w:trPr>
        <w:tc>
          <w:tcPr>
            <w:tcW w:w="42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Deposits with and receivables from broker-dealers, clearing</w:t>
            </w:r>
          </w:p>
        </w:tc>
        <w:tc>
          <w:tcPr>
            <w:tcW w:w="2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6,851.6</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2,194.3</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(5,758.4)</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3,287.5</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organizations and counterparties, net</w:t>
            </w: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 from clients, net - Derivatives</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1,088.6</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3,837.2</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leases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Mutual funds and other</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1,598.6</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5,541.6</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6,767.1</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0" w:type="dxa"/>
            <w:vAlign w:val="bottom"/>
          </w:tcPr>
          <w:p>
            <w:pPr>
              <w:spacing w:after="0"/>
              <w:rPr>
                <w:sz w:val="1"/>
                <w:szCs w:val="1"/>
                <w:color w:val="auto"/>
              </w:rPr>
            </w:pP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8,781.2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8,411.1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(6,670.6)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10,523.8</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payable and other accrued liabilities - contingent liabilities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Payables to clients - Derivatives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(3,540.1)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0" w:type="dxa"/>
            <w:vAlign w:val="bottom"/>
          </w:tcPr>
          <w:p>
            <w:pPr>
              <w:spacing w:after="0"/>
              <w:rPr>
                <w:sz w:val="1"/>
                <w:szCs w:val="1"/>
                <w:color w:val="auto"/>
              </w:rPr>
            </w:pPr>
          </w:p>
        </w:tc>
      </w:tr>
      <w:tr>
        <w:trPr>
          <w:trHeight w:val="189"/>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Payable to broker-dealers, clearing organizations and counterparties</w:t>
            </w: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2,380.8</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2,139.3</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5"/>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4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2,853.3</w:t>
            </w:r>
          </w:p>
        </w:tc>
        <w:tc>
          <w:tcPr>
            <w:tcW w:w="0" w:type="dxa"/>
            <w:vAlign w:val="bottom"/>
          </w:tcPr>
          <w:p>
            <w:pPr>
              <w:spacing w:after="0"/>
              <w:rPr>
                <w:sz w:val="1"/>
                <w:szCs w:val="1"/>
                <w:color w:val="auto"/>
              </w:rPr>
            </w:pP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6,363.3</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3,368.2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(6,614.6)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3,120.1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cash collateral and the impact of netting across each level of the fair value hierarchy.</w:t>
      </w:r>
    </w:p>
    <w:p>
      <w:pPr>
        <w:spacing w:after="0" w:line="11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Realized and unrealized gains and losses are included in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Cost of sales of physical commodities</w:t>
      </w:r>
      <w:r>
        <w:rPr>
          <w:rFonts w:ascii="Times New Roman" w:cs="Times New Roman" w:eastAsia="Times New Roman" w:hAnsi="Times New Roman"/>
          <w:sz w:val="18"/>
          <w:szCs w:val="18"/>
          <w:color w:val="auto"/>
        </w:rPr>
        <w:t xml:space="preserve"> in the Condensed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 about the fair value of financial instruments that are not carried on the Condensed Consolidated Balance Sheets at fair value</w:t>
      </w:r>
    </w:p>
    <w:p>
      <w:pPr>
        <w:spacing w:after="0" w:line="12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Many, but not all, of the financial instruments that the Company holds are recorded at fair value in the Condensed Consolidated Balance Sheets. The following represents financial instruments for which the ending balance at June 30, 2025 and September 30, 2024 was not carried at fair value on the Condensed Consolidated Balance Sheets in accordance with U.S. GAAP:</w:t>
      </w:r>
    </w:p>
    <w:p>
      <w:pPr>
        <w:spacing w:after="0" w:line="6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Short-term financial instruments</w:t>
      </w:r>
      <w:r>
        <w:rPr>
          <w:rFonts w:ascii="Times New Roman" w:cs="Times New Roman" w:eastAsia="Times New Roman" w:hAnsi="Times New Roman"/>
          <w:sz w:val="18"/>
          <w:szCs w:val="18"/>
          <w:color w:val="auto"/>
        </w:rPr>
        <w:t>: The carrying value of short-term financial instruments, including cash and cash equivalents, cash segregated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and other regulations, securities purchased under agreements to resell and securities sold under agreements to repurchase, and securities borrowed and loaned are recorded at amounts that approximate the fair value of these instruments due to their short-term nature and level of collateralization. These financial instruments generally expose the Company to limited credit risk and have no stated maturities or have short-term maturities and carry interest rates that approximate market rates. Under the fair value hierarchy, cash and cash equivalents and cash segregated under federal and other regulations are classified as Level 1. Securities purchased under agreements to resell and securities sold under agreements to repurchase, and securities borrowed and loaned are classified as Level 2 under the fair value hierarchy as they are generally overnight, or short-term in nature, and are collateralized by equity securities, U.S. Treasury obligations, U.S. government agency obligations, agency mortgage-backed obligations, and asset-backed obligations.</w:t>
      </w:r>
    </w:p>
    <w:p>
      <w:pPr>
        <w:spacing w:after="0" w:line="7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Receivables and other assets</w:t>
      </w:r>
      <w:r>
        <w:rPr>
          <w:rFonts w:ascii="Times New Roman" w:cs="Times New Roman" w:eastAsia="Times New Roman" w:hAnsi="Times New Roman"/>
          <w:sz w:val="18"/>
          <w:szCs w:val="18"/>
          <w:color w:val="auto"/>
        </w:rPr>
        <w:t>: Receivables from broker-dealers, clearing organizations, and counterparties, receivables from clients, net, notes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other assets are recorded at amounts that approximate fair value due to their short-term nature and are classified as Level 2 under the fair value hierarchy.</w:t>
      </w:r>
    </w:p>
    <w:p>
      <w:pPr>
        <w:spacing w:after="0" w:line="6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Payables</w:t>
      </w:r>
      <w:r>
        <w:rPr>
          <w:rFonts w:ascii="Times New Roman" w:cs="Times New Roman" w:eastAsia="Times New Roman" w:hAnsi="Times New Roman"/>
          <w:sz w:val="18"/>
          <w:szCs w:val="18"/>
          <w:color w:val="auto"/>
        </w:rPr>
        <w:t>: Payables to clients and payables to broker-dealers, clearing organizations, and counterparties are recorded at amounts that approximate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their short-term nature and are classified as Level 2 under the fair value hierarchy.</w:t>
      </w:r>
    </w:p>
    <w:p>
      <w:pPr>
        <w:spacing w:after="0" w:line="5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Lenders under loans</w:t>
      </w:r>
      <w:r>
        <w:rPr>
          <w:rFonts w:ascii="Times New Roman" w:cs="Times New Roman" w:eastAsia="Times New Roman" w:hAnsi="Times New Roman"/>
          <w:sz w:val="18"/>
          <w:szCs w:val="18"/>
          <w:color w:val="auto"/>
        </w:rPr>
        <w:t>: Payables to lenders under loans carry variable rates of interest and thus approximate fair value and are classified as Level 2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hierarchy.</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Senior secured borrowings, net</w:t>
      </w:r>
      <w:r>
        <w:rPr>
          <w:rFonts w:ascii="Times New Roman" w:cs="Times New Roman" w:eastAsia="Times New Roman" w:hAnsi="Times New Roman"/>
          <w:sz w:val="18"/>
          <w:szCs w:val="18"/>
          <w:color w:val="auto"/>
        </w:rPr>
        <w:t>: Senior secured borrowings, net includes the Company’s 7.875% Senior Secured Notes due 2031 (the “Notes due 2031”),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described in Note 9, with a carrying value of $543.9 million as of June 30, 2025. The carrying value of the Notes due 2031 represents their principal amount net of unamortized deferred financing costs. As of June 30, 2025, the Notes due 2031 had a fair value of $576.5 million. They were classified as Level 2 under the fair value hierarchy. On July 8, 2025, the Company issued $625 million in aggregate principal amount of its 6.875% Senior Secured Notes due 2032 (the “Notes due 2032”) in connection with the acquisition of R.J. O’Brien - see Note 17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 with Off-Balance Sheet Risk and Concentrations of Credit Risk</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condensed consolidated financial statements as of June 30, 2025 and September 30, 2024 at the fair values of the related financial instruments. The Company will incur losses if the fair value of the underlying financial instruments increases subsequent to June 30, 2025. The total </w:t>
      </w:r>
      <w:r>
        <w:rPr>
          <w:rFonts w:ascii="Times New Roman" w:cs="Times New Roman" w:eastAsia="Times New Roman" w:hAnsi="Times New Roman"/>
          <w:sz w:val="18"/>
          <w:szCs w:val="18"/>
          <w:i w:val="1"/>
          <w:iCs w:val="1"/>
          <w:color w:val="auto"/>
        </w:rPr>
        <w:t xml:space="preserve">Financial instruments sold, not yet purchased </w:t>
      </w:r>
      <w:r>
        <w:rPr>
          <w:rFonts w:ascii="Times New Roman" w:cs="Times New Roman" w:eastAsia="Times New Roman" w:hAnsi="Times New Roman"/>
          <w:sz w:val="18"/>
          <w:szCs w:val="18"/>
          <w:color w:val="auto"/>
        </w:rPr>
        <w:t>of $3,707.7 million and $2,853.3 million as of June 30, 2025 and September 30, 2024, respectively,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$207.7 million and $264.8 million for derivative contracts not designated as hedges, respectively, which represented a liability to the Company based on their fair values as of June 30, 2025 and September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Company’s derivative positions are included in the Condensed Consolidated Balance Sheets in </w:t>
      </w:r>
      <w:r>
        <w:rPr>
          <w:rFonts w:ascii="Times New Roman" w:cs="Times New Roman" w:eastAsia="Times New Roman" w:hAnsi="Times New Roman"/>
          <w:sz w:val="18"/>
          <w:szCs w:val="18"/>
          <w:i w:val="1"/>
          <w:iCs w:val="1"/>
          <w:color w:val="auto"/>
        </w:rPr>
        <w:t>Deposits with and receivables from broker-dealers, clearing organizations and counterparties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Receivables from clients, net, Financial instruments owned and sold, not yet purchased, at fair value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Payable to clients,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Payables to broker-dealers, clearing organizations and counterparties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Listed below are the fair values of the Company’s derivative assets and liabilities as of June 30, 2025 and September 30, 2024. Assets represent net unrealized gains and liabilities represent net unrealized losses.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7"/>
                <w:szCs w:val="17"/>
                <w:color w:val="auto"/>
              </w:rPr>
            </w:pPr>
          </w:p>
        </w:tc>
        <w:tc>
          <w:tcPr>
            <w:tcW w:w="1060" w:type="dxa"/>
            <w:vAlign w:val="bottom"/>
          </w:tcPr>
          <w:p>
            <w:pPr>
              <w:jc w:val="right"/>
              <w:ind w:right="148"/>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1040" w:type="dxa"/>
            <w:vAlign w:val="bottom"/>
          </w:tcPr>
          <w:p>
            <w:pPr>
              <w:jc w:val="right"/>
              <w:ind w:right="148"/>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8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contracts not accounted for as hedges:</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commodity derivatives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1,876.6</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1,415.7</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commodity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1,924.3</w:t>
            </w: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foreign exchange derivatives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foreign exchange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interest rate derivatives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interest rate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95"/>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equity index derivatives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1,817.4</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 equity and indices derivatives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6,629.6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7,143.9</w:t>
            </w:r>
          </w:p>
        </w:tc>
        <w:tc>
          <w:tcPr>
            <w:tcW w:w="0" w:type="dxa"/>
            <w:vAlign w:val="bottom"/>
          </w:tcPr>
          <w:p>
            <w:pPr>
              <w:spacing w:after="0"/>
              <w:rPr>
                <w:sz w:val="1"/>
                <w:szCs w:val="1"/>
                <w:color w:val="auto"/>
              </w:rPr>
            </w:pPr>
          </w:p>
        </w:tc>
      </w:tr>
      <w:tr>
        <w:trPr>
          <w:trHeight w:val="196"/>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contracts designated as hedging instruments: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fair value of derivative contracts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6,629.6</w:t>
            </w:r>
          </w:p>
        </w:tc>
        <w:tc>
          <w:tcPr>
            <w:tcW w:w="2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7,235.9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7,144.1</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netting and collateral</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(6,614.6)</w:t>
            </w:r>
          </w:p>
        </w:tc>
        <w:tc>
          <w:tcPr>
            <w:tcW w:w="0" w:type="dxa"/>
            <w:vAlign w:val="bottom"/>
          </w:tcPr>
          <w:p>
            <w:pPr>
              <w:spacing w:after="0"/>
              <w:rPr>
                <w:sz w:val="1"/>
                <w:szCs w:val="1"/>
                <w:color w:val="auto"/>
              </w:rPr>
            </w:pPr>
          </w:p>
        </w:tc>
      </w:tr>
      <w:tr>
        <w:trPr>
          <w:trHeight w:val="115"/>
        </w:trPr>
        <w:tc>
          <w:tcPr>
            <w:tcW w:w="5960" w:type="dxa"/>
            <w:vAlign w:val="bottom"/>
          </w:tcPr>
          <w:p>
            <w:pPr>
              <w:ind w:left="360"/>
              <w:spacing w:after="0" w:line="115" w:lineRule="exact"/>
              <w:rPr>
                <w:sz w:val="20"/>
                <w:szCs w:val="20"/>
                <w:color w:val="auto"/>
              </w:rPr>
            </w:pPr>
            <w:r>
              <w:rPr>
                <w:rFonts w:ascii="Times New Roman" w:cs="Times New Roman" w:eastAsia="Times New Roman" w:hAnsi="Times New Roman"/>
                <w:sz w:val="13"/>
                <w:szCs w:val="13"/>
                <w:color w:val="auto"/>
              </w:rPr>
              <w:t xml:space="preserve">Total fair value included in </w:t>
            </w:r>
            <w:r>
              <w:rPr>
                <w:rFonts w:ascii="Times New Roman" w:cs="Times New Roman" w:eastAsia="Times New Roman" w:hAnsi="Times New Roman"/>
                <w:sz w:val="13"/>
                <w:szCs w:val="13"/>
                <w:i w:val="1"/>
                <w:iCs w:val="1"/>
                <w:color w:val="auto"/>
              </w:rPr>
              <w:t>Deposits with and receivables from broker-dealers, clearing</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96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organizations, and counterparties, net</w:t>
            </w:r>
          </w:p>
        </w:tc>
        <w:tc>
          <w:tcPr>
            <w:tcW w:w="2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Receivable from clients, net</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Financial instruments owned, at fair value</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60" w:type="dxa"/>
            <w:vAlign w:val="bottom"/>
            <w:tcBorders>
              <w:top w:val="single" w:sz="8" w:color="CCEEFF"/>
            </w:tcBorders>
            <w:vMerge w:val="continue"/>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9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960" w:type="dxa"/>
            <w:vAlign w:val="bottom"/>
            <w:tcBorders>
              <w:top w:val="single" w:sz="8" w:color="CCEEFF"/>
            </w:tcBorders>
            <w:shd w:val="clear" w:color="auto" w:fill="CCEEFF"/>
          </w:tcPr>
          <w:p>
            <w:pPr>
              <w:ind w:left="360"/>
              <w:spacing w:after="0" w:line="150" w:lineRule="exact"/>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Payables to clients</w:t>
            </w: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0" w:type="dxa"/>
            <w:vAlign w:val="bottom"/>
          </w:tcPr>
          <w:p>
            <w:pPr>
              <w:spacing w:after="0"/>
              <w:rPr>
                <w:sz w:val="1"/>
                <w:szCs w:val="1"/>
                <w:color w:val="auto"/>
              </w:rPr>
            </w:pPr>
          </w:p>
        </w:tc>
      </w:tr>
      <w:tr>
        <w:trPr>
          <w:trHeight w:val="115"/>
        </w:trPr>
        <w:tc>
          <w:tcPr>
            <w:tcW w:w="5960" w:type="dxa"/>
            <w:vAlign w:val="bottom"/>
          </w:tcPr>
          <w:p>
            <w:pPr>
              <w:ind w:left="360"/>
              <w:spacing w:after="0" w:line="115" w:lineRule="exact"/>
              <w:rPr>
                <w:sz w:val="20"/>
                <w:szCs w:val="20"/>
                <w:color w:val="auto"/>
              </w:rPr>
            </w:pPr>
            <w:r>
              <w:rPr>
                <w:rFonts w:ascii="Times New Roman" w:cs="Times New Roman" w:eastAsia="Times New Roman" w:hAnsi="Times New Roman"/>
                <w:sz w:val="13"/>
                <w:szCs w:val="13"/>
                <w:color w:val="auto"/>
              </w:rPr>
              <w:t xml:space="preserve">Total fair value included in </w:t>
            </w:r>
            <w:r>
              <w:rPr>
                <w:rFonts w:ascii="Times New Roman" w:cs="Times New Roman" w:eastAsia="Times New Roman" w:hAnsi="Times New Roman"/>
                <w:sz w:val="13"/>
                <w:szCs w:val="13"/>
                <w:i w:val="1"/>
                <w:iCs w:val="1"/>
                <w:color w:val="auto"/>
              </w:rPr>
              <w:t>Payables to broker-dealers, clearing organizations and</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5960" w:type="dxa"/>
            <w:vAlign w:val="bottom"/>
          </w:tcPr>
          <w:p>
            <w:pPr>
              <w:ind w:left="360"/>
              <w:spacing w:after="0"/>
              <w:rPr>
                <w:sz w:val="20"/>
                <w:szCs w:val="20"/>
                <w:color w:val="auto"/>
              </w:rPr>
            </w:pPr>
            <w:r>
              <w:rPr>
                <w:rFonts w:ascii="Times New Roman" w:cs="Times New Roman" w:eastAsia="Times New Roman" w:hAnsi="Times New Roman"/>
                <w:sz w:val="14"/>
                <w:szCs w:val="14"/>
                <w:i w:val="1"/>
                <w:iCs w:val="1"/>
                <w:color w:val="auto"/>
              </w:rPr>
              <w:t>counterparties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Total fair value included in </w:t>
            </w:r>
            <w:r>
              <w:rPr>
                <w:rFonts w:ascii="Times New Roman" w:cs="Times New Roman" w:eastAsia="Times New Roman" w:hAnsi="Times New Roman"/>
                <w:sz w:val="14"/>
                <w:szCs w:val="14"/>
                <w:i w:val="1"/>
                <w:iCs w:val="1"/>
                <w:color w:val="auto"/>
              </w:rPr>
              <w:t>Financial instruments sold, not yet purchased, at fair value</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80" w:hanging="332"/>
        <w:spacing w:after="0" w:line="298"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and September 30, 2024, the Company’s derivative contract volume for open positions was approximately 12.7 million and 12.2 million contracts, respectively.</w:t>
      </w:r>
    </w:p>
    <w:p>
      <w:pPr>
        <w:spacing w:after="0" w:line="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derivative contracts are principally held in its Institutional, Commercial, and Self-Directed/Retail segments. The Company provides its Institutional segment clients access to exchanges at which they can carry out their trading strategies. The Company assists its Commercial segment clients in protecting the value of their future production by entering into option or forward agreements with them on an OTC basis. The Company also provides its Commercial segment clients with exchange products, including combinations of buying and selling puts and calls. In its Self-Directed/Retail segment, the Company provides its retail clients with access to spot foreign exchange, precious metals trading, as well as contracts for difference (“CFD”) and spread bets, where permitted. The Company mitigates its risk by generally offsetting the client’s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 Hedging Topic of the ASC. These derivative contracts are traded along with cash transactions because of the integrated nature 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 related to derivative positions may be partially offset by inventory, other derivatives, or cash collateral paid or received.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foreign currency derivatives, in the form of forward contracts, to hedge risk related to the variability in exchange rates relative to certain of the Company’s non-USD expenditures. These hedges are designated cash flow hedges, through which the Company mitigates variability in exchange rates by exchanging foreign currency for USD at fixed exchange rates at a pre-determined future date, or several cash flows at several pre-determined future dates. While the forward contracts mitigate exchange rate variability risk, they do introduce credit risk, which is the possibility that the Company’s trading counterparty fails to meet its obligation. The Company minimizes this risk by entering into its forward contracts with highly-rated, multi-national institutions. These hedges will all mature within 2 years from the end of the current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used interest rate derivatives, in the form of swaps, to hedge risk related to variability in overnight rates. These hedges were designated cash flow hedges, through which the Company mitigated uncertainty in its interest income by converting floating-rate interest income to fixed-rate interest income. The swaps introduced credit risk, which the Company minimized by entering into its swaps with highly-rated, multi-national institutions. In addition to credit risk, there was limited market risk associated with the swap position, because any amounts the Company paid from having exchanged variable interest was funded by the variable interest the Company received on its deposits. During the period ended June 30, 2025, the Company’s interest rate hedges all matured.</w:t>
      </w:r>
    </w:p>
    <w:p>
      <w:pPr>
        <w:spacing w:after="0" w:line="7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assesses the effectiveness of its hedges at each reporting period to identify any required reclassifications into current earnings. During the three and nine months ended June 30, 2025 and 2024, the Company did not designate any portion of its hedges as ineffective and thus did not have any values in current earnings related to ineffective hedges.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derivative instruments designated for hedging held as of June 30, 2025 and September 30, 2024 are as follow: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9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920" w:type="dxa"/>
            <w:vAlign w:val="bottom"/>
            <w:gridSpan w:val="2"/>
            <w:shd w:val="clear" w:color="auto" w:fill="CCEEFF"/>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Financial instruments owned,</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07"/>
        </w:trPr>
        <w:tc>
          <w:tcPr>
            <w:tcW w:w="5980" w:type="dxa"/>
            <w:vAlign w:val="bottom"/>
            <w:vMerge w:val="continue"/>
            <w:shd w:val="clear" w:color="auto" w:fill="CCEEFF"/>
          </w:tcPr>
          <w:p>
            <w:pPr>
              <w:spacing w:after="0"/>
              <w:rPr>
                <w:sz w:val="9"/>
                <w:szCs w:val="9"/>
                <w:color w:val="auto"/>
              </w:rPr>
            </w:pPr>
          </w:p>
        </w:tc>
        <w:tc>
          <w:tcPr>
            <w:tcW w:w="192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net</w:t>
            </w:r>
          </w:p>
        </w:tc>
        <w:tc>
          <w:tcPr>
            <w:tcW w:w="22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98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220" w:type="dxa"/>
            <w:vAlign w:val="bottom"/>
            <w:tcBorders>
              <w:bottom w:val="single" w:sz="8" w:color="auto"/>
            </w:tcBorders>
            <w:vMerge w:val="continue"/>
            <w:shd w:val="clear" w:color="auto" w:fill="CCEEFF"/>
          </w:tcPr>
          <w:p>
            <w:pPr>
              <w:spacing w:after="0"/>
              <w:rPr>
                <w:sz w:val="7"/>
                <w:szCs w:val="7"/>
                <w:color w:val="auto"/>
              </w:rPr>
            </w:pPr>
          </w:p>
        </w:tc>
        <w:tc>
          <w:tcPr>
            <w:tcW w:w="136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tcBorders>
              <w:bottom w:val="single" w:sz="8" w:color="auto"/>
            </w:tcBorders>
            <w:vMerge w:val="continue"/>
            <w:shd w:val="clear" w:color="auto" w:fill="CCEEFF"/>
          </w:tcPr>
          <w:p>
            <w:pPr>
              <w:spacing w:after="0"/>
              <w:rPr>
                <w:sz w:val="7"/>
                <w:szCs w:val="7"/>
                <w:color w:val="auto"/>
              </w:rPr>
            </w:pPr>
          </w:p>
        </w:tc>
        <w:tc>
          <w:tcPr>
            <w:tcW w:w="14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98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Derivative assets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current earnings:</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0"/>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Total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9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Financial instruments sold,</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07"/>
        </w:trPr>
        <w:tc>
          <w:tcPr>
            <w:tcW w:w="5980" w:type="dxa"/>
            <w:vAlign w:val="bottom"/>
            <w:vMerge w:val="continue"/>
          </w:tcPr>
          <w:p>
            <w:pPr>
              <w:spacing w:after="0"/>
              <w:rPr>
                <w:sz w:val="9"/>
                <w:szCs w:val="9"/>
                <w:color w:val="auto"/>
              </w:rPr>
            </w:pPr>
          </w:p>
        </w:tc>
        <w:tc>
          <w:tcPr>
            <w:tcW w:w="1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not yet purchased</w:t>
            </w:r>
          </w:p>
        </w:tc>
        <w:tc>
          <w:tcPr>
            <w:tcW w:w="22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98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 liabilities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current earnings: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21"/>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Total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values of derivative instruments designated for hedging held as of June 30, 2025 and September 30, 2024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forward contracts to purchase Polish Zloty:</w:t>
            </w: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Local currency</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zł</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zł</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0" w:type="dxa"/>
            <w:vAlign w:val="bottom"/>
          </w:tcPr>
          <w:p>
            <w:pPr>
              <w:spacing w:after="0"/>
              <w:rPr>
                <w:sz w:val="1"/>
                <w:szCs w:val="1"/>
                <w:color w:val="auto"/>
              </w:rPr>
            </w:pPr>
          </w:p>
        </w:tc>
      </w:tr>
      <w:tr>
        <w:trPr>
          <w:trHeight w:val="195"/>
        </w:trPr>
        <w:tc>
          <w:tcPr>
            <w:tcW w:w="7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forward contracts to purchase British Pound Sterling:</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Local currency</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USD</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The Condensed Consolidated Income Statement effects of derivative instruments designated for hedging held for the three and nine months ended June 30, 2025 and 2024 are as follows:</w:t>
      </w: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00" w:type="dxa"/>
            <w:vAlign w:val="bottom"/>
          </w:tcPr>
          <w:p>
            <w:pPr>
              <w:spacing w:after="0"/>
              <w:rPr>
                <w:sz w:val="12"/>
                <w:szCs w:val="12"/>
                <w:color w:val="auto"/>
              </w:rPr>
            </w:pPr>
          </w:p>
        </w:tc>
        <w:tc>
          <w:tcPr>
            <w:tcW w:w="1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Pr>
          <w:p>
            <w:pPr>
              <w:spacing w:after="0"/>
              <w:rPr>
                <w:sz w:val="12"/>
                <w:szCs w:val="12"/>
                <w:color w:val="auto"/>
              </w:rPr>
            </w:pPr>
          </w:p>
        </w:tc>
        <w:tc>
          <w:tcPr>
            <w:tcW w:w="1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122"/>
        </w:trPr>
        <w:tc>
          <w:tcPr>
            <w:tcW w:w="50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Total gain/(loss) reclassified from Accumulated Other Comprehensive Income</w:t>
            </w:r>
          </w:p>
        </w:tc>
        <w:tc>
          <w:tcPr>
            <w:tcW w:w="2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02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5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Amount of gain reclassified from accumulated other comprehensive income into</w:t>
            </w: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2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income as a result of a forecasted transaction that is no longer probable of</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occurring</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21"/>
        </w:trPr>
        <w:tc>
          <w:tcPr>
            <w:tcW w:w="502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Total gain/(loss) reclassified from Accumulated Other Comprehensive Income</w:t>
            </w:r>
          </w:p>
        </w:tc>
        <w:tc>
          <w:tcPr>
            <w:tcW w:w="2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02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0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Amount of gain reclassified from accumulated other comprehensive income into</w:t>
            </w: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0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income as a result of a forecasted transaction that is no longer probable of</w:t>
            </w: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occurring</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accumulated other comprehensive income effects of derivative instruments designated for hedging held for the three and nine months ended June 30, 2025 and 2024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Amount of Gain/(Loss) Recognized in Other Comprehensive Income on</w:t>
            </w:r>
          </w:p>
        </w:tc>
      </w:tr>
      <w:tr>
        <w:trPr>
          <w:trHeight w:val="194"/>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Derivatives, net of tax</w:t>
            </w:r>
          </w:p>
        </w:tc>
        <w:tc>
          <w:tcPr>
            <w:tcW w:w="1020" w:type="dxa"/>
            <w:vAlign w:val="bottom"/>
            <w:tcBorders>
              <w:bottom w:val="single" w:sz="8" w:color="auto"/>
            </w:tcBorders>
          </w:tcPr>
          <w:p>
            <w:pPr>
              <w:spacing w:after="0"/>
              <w:rPr>
                <w:sz w:val="16"/>
                <w:szCs w:val="16"/>
                <w:color w:val="auto"/>
              </w:rPr>
            </w:pP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r>
      <w:tr>
        <w:trPr>
          <w:trHeight w:val="18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60" w:type="dxa"/>
            <w:vAlign w:val="bottom"/>
            <w:tcBorders>
              <w:top w:val="single" w:sz="8" w:color="auto"/>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2.8</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628"/>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6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spacing w:after="0"/>
              <w:rPr>
                <w:sz w:val="16"/>
                <w:szCs w:val="16"/>
                <w:color w:val="auto"/>
              </w:rPr>
            </w:pPr>
          </w:p>
        </w:tc>
        <w:tc>
          <w:tcPr>
            <w:tcW w:w="132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1.3</w:t>
            </w:r>
          </w:p>
        </w:tc>
      </w:tr>
      <w:tr>
        <w:trPr>
          <w:trHeight w:val="27"/>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4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 Recognized in Other Comprehensive Income on Derivatives,</w:t>
            </w:r>
          </w:p>
        </w:tc>
      </w:tr>
      <w:tr>
        <w:trPr>
          <w:trHeight w:val="194"/>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4"/>
          </w:tcPr>
          <w:p>
            <w:pPr>
              <w:jc w:val="right"/>
              <w:ind w:right="2048"/>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June 30, 2025</w:t>
            </w:r>
          </w:p>
        </w:tc>
        <w:tc>
          <w:tcPr>
            <w:tcW w:w="100" w:type="dxa"/>
            <w:vAlign w:val="bottom"/>
          </w:tcPr>
          <w:p>
            <w:pPr>
              <w:spacing w:after="0"/>
              <w:rPr>
                <w:sz w:val="17"/>
                <w:szCs w:val="17"/>
                <w:color w:val="auto"/>
              </w:rPr>
            </w:pPr>
          </w:p>
        </w:tc>
        <w:tc>
          <w:tcPr>
            <w:tcW w:w="2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Nine Months Ended June 30, 2024</w:t>
            </w:r>
          </w:p>
        </w:tc>
      </w:tr>
      <w:tr>
        <w:trPr>
          <w:trHeight w:val="18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20" w:type="dxa"/>
            <w:vAlign w:val="bottom"/>
            <w:tcBorders>
              <w:top w:val="single" w:sz="8" w:color="auto"/>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2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0"/>
        </w:trPr>
        <w:tc>
          <w:tcPr>
            <w:tcW w:w="6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27"/>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 xml:space="preserve">The following table sets forth the Company’s net gains/(losses) related to derivative financial instruments for the three and nine months ended June 30, 2025 and 2024 in accordance with the Derivatives and Hedging Topic of the ASC. The net gains/(losses) set forth below are included in </w:t>
      </w:r>
      <w:r>
        <w:rPr>
          <w:rFonts w:ascii="Times New Roman" w:cs="Times New Roman" w:eastAsia="Times New Roman" w:hAnsi="Times New Roman"/>
          <w:sz w:val="18"/>
          <w:szCs w:val="18"/>
          <w:i w:val="1"/>
          <w:iCs w:val="1"/>
          <w:color w:val="auto"/>
        </w:rPr>
        <w:t>Principal gains,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Cost of sales of physical commodities </w:t>
      </w:r>
      <w:r>
        <w:rPr>
          <w:rFonts w:ascii="Times New Roman" w:cs="Times New Roman" w:eastAsia="Times New Roman" w:hAnsi="Times New Roman"/>
          <w:sz w:val="18"/>
          <w:szCs w:val="18"/>
          <w:color w:val="auto"/>
        </w:rPr>
        <w:t>in the Condensed Consolidated Income Statements.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6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Commodities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320.3</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w:t>
            </w:r>
          </w:p>
        </w:tc>
        <w:tc>
          <w:tcPr>
            <w:tcW w:w="28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equities, and indices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 be announced and forward settling securities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gains from derivative contracts</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255.2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506.3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418.9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purchases and sells financial instruments, commodities and foreign currencies as either a principal or agent on behalf of its clients. If either the client or counterparty fails to perform, the Company may be required to discharge the obligations of the nonperforming party. In such circumstances, the Company may sustain a loss if the fair value of the financial instrument, commodity, or foreign currency is different from the contract value of the transaction.</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the Company’s transactions and, consequently, the concentration of its credit exposure are with commodity exchanges, clients, broker-dealers and other financial institutions. These activities primarily involve collateralized and uncollateralized arrangements and may result in credit exposure in the event that a counterparty fails to meet its contractual obligations. The Company’s exposure to credit risk can be directly impacted by volatile financial markets, which may impair counterparties’ ability to satisfy contractual obligations. The Company seeks to control its credit risk through a variety of reporting and control procedures, including establishing credit and/or position limits based upon a review of the counterparties’ financial condition and credit ratings. The Company monitors collateral levels on a daily basis for compliance with regulatory and internal guidelines and requests changes in collateral levels as appropriate.</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is a party to financial instruments in the normal course of its business through client and proprietary trading accounts in exchange-traded and OTC derivative instruments. These instruments are primarily the result of the execution of orders for commodity futures, options on futures, OTC swaps and options and spot and forward foreign currency contracts on behalf of its clients, substantially all of which are transacted on a margin basis. Such transactions may expose the Company to significant credit risk in the event that margin requirements are not sufficient to fully cover losses which clients may incur. The Company controls the risks associated with these transactions by requiring clients to maintain margin deposits in compliance with individual exchange regulations and internal guidelines. The Company monitors required margin levels daily, and therefore, may require clients to deposit additional collateral or reduce positions when necessary. The Company also establishes credit limits for clients, which are monitored daily. The Company evaluates each client’s creditworthiness on a case by case basis. Clearing, financing, and settlement activities may require the Company to maintain funds with or pledge securities as collateral with other financial institutions. Generally, these exposures to both clients and exchanges are subject to master netting, or client agreements, which reduce the exposure to the Company by permitting receivables and payables with such clients to be offset in the event of a client default. Management believes that the margin deposits held as of June 30, 2025 and September 30, 2024 were adequate to minimize the risk of material loss that could be created by positions held at that time. Additionally, the Company monitors collateral fair value on a daily basis and adjusts collateral levels in the event of excess market exposure.</w:t>
      </w:r>
    </w:p>
    <w:p>
      <w:pPr>
        <w:spacing w:after="0" w:line="7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involve varying degrees of off-balance sheet market risk whereby changes in the fair values of underlying financial instruments may result in changes in the fair value of the financial instruments in excess of the amounts reflected in the Condensed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The Company attempts to manage its exposure to market risk through various techniques. Aggregate market limits have been established and market risk measures are routinely monitored against these limits.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Allowance for Doubtful Accounts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related to deposits with and receivables from broker-dealers, clearing organizations, and counterparties was $0.1 million as of June 30, 2025 and $0.0 million as of September 30, 2024. The allowance for doubtful accounts related to receivables from clients was $54.0 million and $51.9 million as of June 30, 2025 and September 30,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nine months ended June 30, 2025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9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6"/>
        </w:trPr>
        <w:tc>
          <w:tcPr>
            <w:tcW w:w="98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Provision for bad debts</w:t>
            </w:r>
            <w:r>
              <w:rPr>
                <w:rFonts w:ascii="Times New Roman" w:cs="Times New Roman" w:eastAsia="Times New Roman" w:hAnsi="Times New Roman"/>
                <w:sz w:val="21"/>
                <w:szCs w:val="21"/>
                <w:color w:val="auto"/>
                <w:vertAlign w:val="superscript"/>
              </w:rPr>
              <w:t>(1)</w:t>
            </w: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6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0"/>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334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39" w:lineRule="exact"/>
        <w:rPr>
          <w:sz w:val="20"/>
          <w:szCs w:val="20"/>
          <w:color w:val="auto"/>
        </w:rPr>
      </w:pPr>
    </w:p>
    <w:p>
      <w:pPr>
        <w:ind w:left="20" w:right="1960"/>
        <w:spacing w:after="0" w:line="210"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An additional $0.3 million is included in bad debt expense for the nine months ended June 30, 2025 on the Condensed Consolidated Income Statements, which is not included in the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Physical Commodities 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consist of physical commodities as shown below:</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Physical agriculture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062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Precious metals - held by broker-dealer subsidiary</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Precious metals - held by non-broker-dealer subsidiaries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Physical commodities inventory, net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Includes raw materials of $5.5 million and work in process of $24.2 million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062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w:t>
            </w:r>
          </w:p>
        </w:tc>
      </w:tr>
      <w:tr>
        <w:trPr>
          <w:trHeight w:val="216"/>
        </w:trPr>
        <w:tc>
          <w:tcPr>
            <w:tcW w:w="26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219"/>
        </w:trPr>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705.4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w:t>
            </w:r>
          </w:p>
        </w:tc>
      </w:tr>
      <w:tr>
        <w:trPr>
          <w:trHeight w:val="23"/>
        </w:trPr>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sectPr>
          <w:pgSz w:w="11900" w:h="16838" w:orient="portrait"/>
          <w:cols w:equalWidth="0" w:num="2">
            <w:col w:w="7620" w:space="720"/>
            <w:col w:w="2860"/>
          </w:cols>
          <w:pgMar w:left="320" w:top="121" w:right="379" w:bottom="1440" w:gutter="0" w:footer="0" w:header="0"/>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Physical agriculture and energy consists of agricultural commodity inventories, including corn, soybeans, wheat, dried distillers grain, canola, sorghum, coffee, cocoa, cotton, and various energy commodity inventories. Agricultural inventories have reliable, readily determinable and realizable market prices, have relatively insignificant costs of disposal and are available for immediate delivery. The Company records changes to these values in </w:t>
      </w:r>
      <w:r>
        <w:rPr>
          <w:rFonts w:ascii="Times New Roman" w:cs="Times New Roman" w:eastAsia="Times New Roman" w:hAnsi="Times New Roman"/>
          <w:sz w:val="18"/>
          <w:szCs w:val="18"/>
          <w:i w:val="1"/>
          <w:iCs w:val="1"/>
          <w:color w:val="auto"/>
        </w:rPr>
        <w:t>Cost of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physical commodities </w:t>
      </w:r>
      <w:r>
        <w:rPr>
          <w:rFonts w:ascii="Times New Roman" w:cs="Times New Roman" w:eastAsia="Times New Roman" w:hAnsi="Times New Roman"/>
          <w:sz w:val="18"/>
          <w:szCs w:val="18"/>
          <w:color w:val="auto"/>
        </w:rPr>
        <w:t>on the Condensed Consolidated Income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allocated to the Company’s operating segments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98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3"/>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Institutional</w:t>
            </w:r>
          </w:p>
        </w:tc>
        <w:tc>
          <w:tcPr>
            <w:tcW w:w="9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Self-Directed/Retail</w:t>
            </w: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Goodwill</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and net carrying values of intangible assets as of the balance sheet dates, by major intangible asset class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1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subject to amortization</w:t>
            </w: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Trade/domain names and other licenses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programs/platforms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Client and supplier base</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not subject to amortization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Website domains</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licenses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intangible assets not subject to amortization</w:t>
            </w: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21"/>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$1.3 million and $1.9 million for the three months ended June 30,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$3.6 million and $6.0 million for the nine months ended June 30, 2025 and 2024,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wrote off $16.2 million of fully amortized intangible assets during the nine months ended June 30, 2025.</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estimated future amortization expense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9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 (remaining months)</w:t>
            </w: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1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 and thereafter</w:t>
            </w: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9"/>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 subject to amortization</w:t>
            </w: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7"/>
        </w:trPr>
        <w:tc>
          <w:tcPr>
            <w:tcW w:w="98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Credit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Credit Facilities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have committed credit facilities under which they may borrow up to $1,355.0 million, subject to the terms and conditions of these facilities. The amounts outstanding under these credit facilities carry variable rates of interest, thus approximating fair value. The committed credit facilities generally have covenant requirements that relate to various leverage, debt to net worth, fixed charge, tangible net worth, excess net capital, or profitability measures. The Company and its subsidiaries were in compliance with all relevant covenants as of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Facilities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has access to certain uncommitted financing agreements that support its ordinary course securities and commodities inventories. The agreements are subject to certain borrowing terms and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 to Bank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note payable to a commercial bank related to the financing of certain equipment which secures the note.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 2024, the Company issued $550 million in aggregate principal amount of its 7.875% Notes due 2031 at the offering price of 100% of the aggregate principal amount. The Notes due 2031 are fully and unconditionally guaranteed, jointly and severally, on a senior secured second lien basis by each of the Company’s existing and future subsidiaries that guarantee indebtedness under the Company’s senior secured revolving credit facility and certain other senior indebtedness. Interest related to these notes is payable twice annually, in arrears. The Company incurred debt issuance costs of $7.6 million, which are being amortized over the term of the Notes due 2031 under the effective interest method.</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July 8, 2025, the Company issued $625 million in aggregate principal amount of the Notes due 2032 in connection with the acquisition of R.J. O’Brien - see Note 17 for additional information.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listing of credit facilities, the current committed amounts as of the report date on the facilities, and outstanding (in millions, except for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Borrower</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Renewal/Expiration Date</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Commitment</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gridSpan w:val="4"/>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top w:val="single" w:sz="8" w:color="auto"/>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00" w:type="dxa"/>
            <w:vAlign w:val="bottom"/>
            <w:tcBorders>
              <w:top w:val="single" w:sz="8" w:color="auto"/>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28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Committed Credit Facilities</w:t>
            </w:r>
          </w:p>
        </w:tc>
        <w:tc>
          <w:tcPr>
            <w:tcW w:w="5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gridSpan w:val="4"/>
          </w:tcPr>
          <w:p>
            <w:pPr>
              <w:ind w:left="100"/>
              <w:spacing w:after="0" w:line="135" w:lineRule="exact"/>
              <w:rPr>
                <w:sz w:val="20"/>
                <w:szCs w:val="20"/>
                <w:color w:val="auto"/>
              </w:rPr>
            </w:pPr>
            <w:r>
              <w:rPr>
                <w:rFonts w:ascii="Times New Roman" w:cs="Times New Roman" w:eastAsia="Times New Roman" w:hAnsi="Times New Roman"/>
                <w:sz w:val="14"/>
                <w:szCs w:val="14"/>
                <w:color w:val="auto"/>
              </w:rPr>
              <w:t>Senior StoneX Group Inc. Committed Credit</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w:t>
            </w:r>
          </w:p>
        </w:tc>
        <w:tc>
          <w:tcPr>
            <w:tcW w:w="1600" w:type="dxa"/>
            <w:vAlign w:val="bottom"/>
          </w:tcPr>
          <w:p>
            <w:pPr>
              <w:spacing w:after="0"/>
              <w:rPr>
                <w:sz w:val="11"/>
                <w:szCs w:val="11"/>
                <w:color w:val="auto"/>
              </w:rPr>
            </w:pPr>
          </w:p>
        </w:tc>
        <w:tc>
          <w:tcPr>
            <w:tcW w:w="1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June 3, 2028</w:t>
            </w:r>
          </w:p>
        </w:tc>
        <w:tc>
          <w:tcPr>
            <w:tcW w:w="4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Facility - Revolving Line of Credit</w:t>
            </w:r>
          </w:p>
        </w:tc>
        <w:tc>
          <w:tcPr>
            <w:tcW w:w="50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StoneX Financial Inc.</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None</w:t>
            </w:r>
          </w:p>
        </w:tc>
        <w:tc>
          <w:tcPr>
            <w:tcW w:w="18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October 28, 2025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StoneX Commodity Solutions LLC</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Certain assets</w:t>
            </w: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July 29, 2026</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StoneX Financial Ltd.</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None</w:t>
            </w:r>
          </w:p>
        </w:tc>
        <w:tc>
          <w:tcPr>
            <w:tcW w:w="18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October 9, 2025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4"/>
                <w:szCs w:val="14"/>
                <w:color w:val="auto"/>
              </w:rPr>
              <w:t>StoneX Financial Pte. Ltd.</w:t>
            </w:r>
          </w:p>
        </w:tc>
        <w:tc>
          <w:tcPr>
            <w:tcW w:w="2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None</w:t>
            </w:r>
          </w:p>
        </w:tc>
        <w:tc>
          <w:tcPr>
            <w:tcW w:w="186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September 5, 2025</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1,355.0</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Uncommitted Credit Facilities</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Various</w:t>
            </w: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Note Payable to Bank</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Certain equipment</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Senior Secured Notes due 2031</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w:t>
            </w:r>
          </w:p>
        </w:tc>
        <w:tc>
          <w:tcPr>
            <w:tcW w:w="1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outstanding borrowings</w:t>
            </w: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4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60" w:firstLine="8"/>
        <w:spacing w:after="0" w:line="28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StoneX Group Inc. senior committed credit facility is a revolving facility secured by substantially all of the assets of StoneX Group Inc. and certain subsidiaries identified in the credit facility agreement as obligors, and pledged equity of certain subsidiaries identified in the credit facility as limited guarantors.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right="280" w:firstLine="8"/>
        <w:spacing w:after="0" w:line="281"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due 2031 and the related guarantees are secured by liens on substantially all of the Company’s and the guarantors’ assets, subject to certain customary and other exceptions and permitted liens. The liens on the assets that secure the Notes and the related guarantees are contractually subordinated to the liens on the assets that secure the Company’s and the guarantors’ existing and future first lien secured indebtedness, including indebtedness under the Company’s senior committed credit facility.</w:t>
      </w:r>
    </w:p>
    <w:p>
      <w:pPr>
        <w:spacing w:after="0" w:line="5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outstanding under the Notes due 2031 are reported net of unamortized deferred financing costs of $6.1 million and $6.9 million, in the respective periods presented.</w:t>
      </w:r>
    </w:p>
    <w:p>
      <w:pPr>
        <w:spacing w:after="0" w:line="120"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Senior secured borrowings, net</w:t>
      </w:r>
      <w:r>
        <w:rPr>
          <w:rFonts w:ascii="Times New Roman" w:cs="Times New Roman" w:eastAsia="Times New Roman" w:hAnsi="Times New Roman"/>
          <w:sz w:val="14"/>
          <w:szCs w:val="14"/>
          <w:color w:val="auto"/>
        </w:rPr>
        <w:t xml:space="preserve"> on the Condensed Consolidated Balance Sheets.</w:t>
      </w:r>
    </w:p>
    <w:p>
      <w:pPr>
        <w:spacing w:after="0" w:line="12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Payables to Lenders under loans</w:t>
      </w:r>
      <w:r>
        <w:rPr>
          <w:rFonts w:ascii="Times New Roman" w:cs="Times New Roman" w:eastAsia="Times New Roman" w:hAnsi="Times New Roman"/>
          <w:sz w:val="14"/>
          <w:szCs w:val="14"/>
          <w:color w:val="auto"/>
        </w:rPr>
        <w:t xml:space="preserve"> on the Condensed Consolidated Balance Sheets</w:t>
      </w:r>
      <w:r>
        <w:rPr>
          <w:rFonts w:ascii="Times New Roman" w:cs="Times New Roman" w:eastAsia="Times New Roman" w:hAnsi="Times New Roman"/>
          <w:sz w:val="14"/>
          <w:szCs w:val="14"/>
          <w:i w:val="1"/>
          <w:iCs w:val="1"/>
          <w:color w:val="auto"/>
        </w:rPr>
        <w:t>.</w:t>
      </w:r>
    </w:p>
    <w:p>
      <w:pPr>
        <w:spacing w:after="0" w:line="1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reflected above, certain of the Company’s committed credit facilities are scheduled to expire during the next twelve months following the quarterly period ended June 30, 2025. The Company intends to renew or replace these facilities as they expire, and based on the Company’s liquidity position and capital structure, the Company believes it will be able to do so.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Securities and Commodity Financing Transactions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repurchase agreements and securities borrowing and lending arrangements are generally recorded at cost in the Condensed Consolidated Balance Sheets, which is a reasonable approximation of their fair values due to their short-term nature. Secured borrowing and lending arrangements are entered into to obtain collateral necessary to effect settlement, finance inventory positions, meet customer needs or re-lend as part of dealer operations. The fair value of securities loaned and borrowed is monitored daily compared with the related payable or receivable, and additional collateral or returning excess collateral is requested, as appropriate. These arrangements may serve to limit credit risk resulting from transactions with counterparties. Financial instruments are pledged as collateral under repurchase agreements, securities lending agreements and other secured arrangements, including clearing arrangements. Agreements with counterparties generally contain contractual provisions allowing counterparties the right to sell or repledge collateral. Either the Company or its counterparties may require additional collateral. All collateral is held by the Company or a custodian.</w:t>
      </w:r>
    </w:p>
    <w:p>
      <w:pPr>
        <w:spacing w:after="0" w:line="8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carrying value of repurchase agreements, and securities lending agreements by remaining contractual maturity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20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Overnight and Open</w:t>
            </w: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1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23,423.3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24,590.6</w:t>
            </w: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2,032.1</w:t>
            </w: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of secured financing</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26,622.7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20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Overnight and Open</w:t>
            </w:r>
          </w:p>
        </w:tc>
        <w:tc>
          <w:tcPr>
            <w:tcW w:w="8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15,260.8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16,527.9</w:t>
            </w: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1,615.9</w:t>
            </w: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 of secured financing</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18,143.8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Collateralized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carrying value of repurchase agreements and securities lending agreements by class of collateral pledged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sold under agreements to repurchase</w:t>
            </w:r>
          </w:p>
        </w:tc>
        <w:tc>
          <w:tcPr>
            <w:tcW w:w="28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6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obligations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9,673.7</w:t>
            </w:r>
          </w:p>
        </w:tc>
      </w:tr>
      <w:tr>
        <w:trPr>
          <w:trHeight w:val="195"/>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obligations and municipal bonds</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652.0</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obligations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r>
      <w:tr>
        <w:trPr>
          <w:trHeight w:val="195"/>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5,079.6</w:t>
            </w: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649.6</w:t>
            </w:r>
          </w:p>
        </w:tc>
      </w:tr>
      <w:tr>
        <w:trPr>
          <w:trHeight w:val="19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336.9</w:t>
            </w:r>
          </w:p>
        </w:tc>
      </w:tr>
      <w:tr>
        <w:trPr>
          <w:trHeight w:val="19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securities sold under agreement to repurchase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24,590.6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16,527.9</w:t>
            </w:r>
          </w:p>
        </w:tc>
      </w:tr>
      <w:tr>
        <w:trPr>
          <w:trHeight w:val="148"/>
        </w:trPr>
        <w:tc>
          <w:tcPr>
            <w:tcW w:w="7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loaned</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6"/>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1,615.9</w:t>
            </w:r>
          </w:p>
        </w:tc>
      </w:tr>
      <w:tr>
        <w:trPr>
          <w:trHeight w:val="19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securities loaned</w:t>
            </w: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1,615.9</w:t>
            </w:r>
          </w:p>
        </w:tc>
      </w:tr>
      <w:tr>
        <w:trPr>
          <w:trHeight w:val="203"/>
        </w:trPr>
        <w:tc>
          <w:tcPr>
            <w:tcW w:w="7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amount of secured financing</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26,622.7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18,143.8</w:t>
            </w:r>
          </w:p>
        </w:tc>
      </w:tr>
      <w:tr>
        <w:trPr>
          <w:trHeight w:val="21"/>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The following tables provide the netting of securities purchased under agreements to resell, securities sold under agreements to repurchase, securities borrowed and securities loaned as of the periods indicated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Offset in the Condensed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Balance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19,374.5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(11,215.2)</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borrowed</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gridSpan w:val="3"/>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gridSpan w:val="3"/>
          </w:tcPr>
          <w:p>
            <w:pPr>
              <w:ind w:left="18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4"/>
        </w:trPr>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Amounts Offset in the Condensed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Condensed Consolidated Balance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13,148.1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(7,946.6)</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5,201.5</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borrowed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(7,946.6)</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Company pledges securities owned as collateral in both tri-party and bilateral arrangements. Pledged securities under tri-party arrangements may not be repledged or sold by the Company’s counterparties, whereas bilaterally pledged securities may be. The approximate fair value of pledged securities that can be sold or repledged by the Company’s counterparties has been parenthetically disclosed on the Condensed Consolidated Balance Sheets.</w:t>
      </w:r>
    </w:p>
    <w:p>
      <w:pPr>
        <w:spacing w:after="0" w:line="76"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Company receives securities as collateral under reverse repurchase agreements, securities borrowed agreements, and margin securities held on behalf of counterparties. This collateral is used by the Company to cover financial instruments sold, not yet purchased; to obtain financing in the form of repurchase agreements; and to meet counterparties’ needs under lending arrangement and matched-booked trading strategies. Additional securities collateral is obtained as necessary to ensure such transactions are adequately collateralized. In many instances, the Company is permitted by contract to repledge the securities received as collateral, which may include pledges to cover collateral requirements for tri-party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fair values, which approximates carrying value because of the short term nature of collateral pledged, received and repledged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pledged or repledged to cover collateral requirements for tri-party arrangements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6,777.9</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received as collateral that may be repledged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23,675.4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20,126.8</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received as collateral that may be repledged covering securities sold short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2,408.3</w:t>
            </w:r>
          </w:p>
        </w:tc>
        <w:tc>
          <w:tcPr>
            <w:tcW w:w="0" w:type="dxa"/>
            <w:vAlign w:val="bottom"/>
          </w:tcPr>
          <w:p>
            <w:pPr>
              <w:spacing w:after="0"/>
              <w:rPr>
                <w:sz w:val="1"/>
                <w:szCs w:val="1"/>
                <w:color w:val="auto"/>
              </w:rPr>
            </w:pPr>
          </w:p>
        </w:tc>
      </w:tr>
      <w:tr>
        <w:trPr>
          <w:trHeight w:val="139"/>
        </w:trPr>
        <w:tc>
          <w:tcPr>
            <w:tcW w:w="7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Repledged securities borrowed and client securities held under custodial clearing arrangements to collateralize securities loaned</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2,032.8</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agreements</w:t>
            </w:r>
          </w:p>
        </w:tc>
        <w:tc>
          <w:tcPr>
            <w:tcW w:w="2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is involved in various legal actions and proceedings, including tort claims, contractual disputes, employment matters, workers’ compensation claims and collections. The Company carries insurance that provides protection against certain types of claims, up to the relevant policy’s limits.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BTIG filed a civil complaint (the “BTIG complaint”) against the Company and StoneX Financial Inc. in San Francisco Superior Court (CGC-23-610525) seeking monetary damages and injunctive relief for, among other things, alleged theft of purported trade secrets by former BTIG employees later employed at StoneX. The proceedings have moved to FINRA arbitration and the court action is stayed. The Company intends to continue to vigorously defend itself. The Company received from the U.S. Department of Justice (the “DOJ”) and the SEC subpoenas that the Company believes are related to conduct alleged in the BTIG complaint, and the Company is cooperating with these agencies. The ultimate outcomes of the BTIG complaint and the DOJ and SEC subpoenas cannot presently be determined.</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June 30, 2025 and September 30, 2024, the Condensed Consolidated Balance Sheets include loss contingency accruals which are not material, individually or in the aggregate, to the Company’s financial position or liquidity. In the opinion of management, possible exposure from loss contingencies in excess of the amounts accrued, is not likely to be material to the Company’s earnings, financial position or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Accumulated Other Comprehensive Loss, Net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net for the nine months ended June 30,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Hedge</w:t>
            </w:r>
          </w:p>
        </w:tc>
        <w:tc>
          <w:tcPr>
            <w:tcW w:w="10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20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2024</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center"/>
              <w:ind w:left="968"/>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gains, net of tax</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ind w:left="1008"/>
              <w:spacing w:after="0"/>
              <w:rPr>
                <w:sz w:val="20"/>
                <w:szCs w:val="20"/>
                <w:color w:val="auto"/>
              </w:rPr>
            </w:pPr>
            <w:r>
              <w:rPr>
                <w:rFonts w:ascii="Times New Roman" w:cs="Times New Roman" w:eastAsia="Times New Roman" w:hAnsi="Times New Roman"/>
                <w:sz w:val="14"/>
                <w:szCs w:val="14"/>
                <w:color w:val="auto"/>
                <w:w w:val="97"/>
              </w:rPr>
              <w:t>11.0</w:t>
            </w:r>
          </w:p>
        </w:tc>
        <w:tc>
          <w:tcPr>
            <w:tcW w:w="0" w:type="dxa"/>
            <w:vAlign w:val="bottom"/>
          </w:tcPr>
          <w:p>
            <w:pPr>
              <w:spacing w:after="0"/>
              <w:rPr>
                <w:sz w:val="1"/>
                <w:szCs w:val="1"/>
                <w:color w:val="auto"/>
              </w:rPr>
            </w:pPr>
          </w:p>
        </w:tc>
      </w:tr>
      <w:tr>
        <w:trPr>
          <w:trHeight w:val="22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June 30, 2025</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center"/>
              <w:ind w:left="968"/>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Revenue from Contracts with Clients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accounts for revenue earned from contracts with clients for services such as the execution, clearing, brokering, and custody of futures and options on futures contracts, OTC derivatives, and securities, investment management, and underwriting services in accordance with FASB ASC 606, Revenues from Contracts with Customers (“Topic 606”). Revenues for these services are recognized when the performance obligations related to the underlying transaction are completed.</w:t>
      </w:r>
    </w:p>
    <w:p>
      <w:pPr>
        <w:spacing w:after="0" w:line="3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clients, in an amount that reflects the consideration the Company expects to be entitled to in exchange for those goods or services. Revenues are analyzed to determine whether the Company is the principal (i.e. reports revenue on a gross basis) or agent (i.e., reports revenues on a net basis) in the contract. Principal or agent designations depend primarily on the control an entity has over the good or service before control is transferred to a client. The indicators of which party exercises control include primary responsibility over performance obligations, inventory risk before the good or service is transferred, and discretion in establishing the price.</w:t>
      </w:r>
    </w:p>
    <w:p>
      <w:pPr>
        <w:spacing w:after="0" w:line="4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Topic 606 does not apply to revenues associated with dealing, or market-making, activities in financial instruments or contracts in the capacity of a principal, including derivative sales contracts which result in physical settlement and interest income.</w:t>
      </w:r>
    </w:p>
    <w:p>
      <w:pPr>
        <w:spacing w:after="0" w:line="11"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 xml:space="preserve">Revenues within the scope of Topic 606 are presented within </w:t>
      </w:r>
      <w:r>
        <w:rPr>
          <w:rFonts w:ascii="Times New Roman" w:cs="Times New Roman" w:eastAsia="Times New Roman" w:hAnsi="Times New Roman"/>
          <w:sz w:val="18"/>
          <w:szCs w:val="18"/>
          <w:i w:val="1"/>
          <w:iCs w:val="1"/>
          <w:color w:val="auto"/>
        </w:rPr>
        <w:t>Commission and clearing fees; Consulting, management, and account fees; and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physical commodities </w:t>
      </w:r>
      <w:r>
        <w:rPr>
          <w:rFonts w:ascii="Times New Roman" w:cs="Times New Roman" w:eastAsia="Times New Roman" w:hAnsi="Times New Roman"/>
          <w:sz w:val="18"/>
          <w:szCs w:val="18"/>
          <w:color w:val="auto"/>
        </w:rPr>
        <w:t>on the Condensed Consolidated Income Statements. Revenues that are not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 xml:space="preserve">within the scope of Topic 606 are presented within </w:t>
      </w:r>
      <w:r>
        <w:rPr>
          <w:rFonts w:ascii="Times New Roman" w:cs="Times New Roman" w:eastAsia="Times New Roman" w:hAnsi="Times New Roman"/>
          <w:sz w:val="18"/>
          <w:szCs w:val="18"/>
          <w:i w:val="1"/>
          <w:iCs w:val="1"/>
          <w:color w:val="auto"/>
        </w:rPr>
        <w:t>Sales of physical commodities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on the Condensed Consolidated Income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8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clients as a percentage of total revenues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the Company’s total revenues separated between revenues from contracts with clients and other sources of revenue for the periods indicated.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clients: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Sales-based: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Exchange-traded futures and options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OTC derivative brokerage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Equities and fixed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Mutual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sales-based commission</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2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Trailing: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Mutual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9"/>
        </w:trPr>
        <w:tc>
          <w:tcPr>
            <w:tcW w:w="47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trailing commission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Clearing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Trade conversion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commission and clearing fees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Underwriting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 management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Advisory and consulting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Sweep program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Client account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consulting, management, and account fees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7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Precious metals sales under ASC Topic 606</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1,175.5</w:t>
            </w: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Method of revenue recognition:</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Point-in-time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1,587.7</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Time elapsed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1,708.4</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sources of revenues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Physical precious metals under ASC Topic 815</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25,030.2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91,857.9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62,259.7</w:t>
            </w:r>
          </w:p>
        </w:tc>
        <w:tc>
          <w:tcPr>
            <w:tcW w:w="0" w:type="dxa"/>
            <w:vAlign w:val="bottom"/>
          </w:tcPr>
          <w:p>
            <w:pPr>
              <w:spacing w:after="0"/>
              <w:rPr>
                <w:sz w:val="1"/>
                <w:szCs w:val="1"/>
                <w:color w:val="auto"/>
              </w:rPr>
            </w:pPr>
          </w:p>
        </w:tc>
      </w:tr>
      <w:tr>
        <w:trPr>
          <w:trHeight w:val="195"/>
        </w:trPr>
        <w:tc>
          <w:tcPr>
            <w:tcW w:w="4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Physical agricultural and energy products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2,903.8</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Principal gains,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34,828.8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27,069.7</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99,654.8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68,748.8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by primary geographic region: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1,400.2</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5,594.9</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4,411.4</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Europe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South America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Middle East and Asia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24,923.7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91,191.9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62,124.4</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34,828.8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27,069.7</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99,654.8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68,748.8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 by primary geographic region: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28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2,097.1</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Europe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0" w:type="dxa"/>
            <w:vAlign w:val="bottom"/>
          </w:tcPr>
          <w:p>
            <w:pPr>
              <w:spacing w:after="0"/>
              <w:rPr>
                <w:sz w:val="1"/>
                <w:szCs w:val="1"/>
                <w:color w:val="auto"/>
              </w:rPr>
            </w:pPr>
          </w:p>
        </w:tc>
      </w:tr>
      <w:tr>
        <w:trPr>
          <w:trHeight w:val="195"/>
        </w:trPr>
        <w:tc>
          <w:tcPr>
            <w:tcW w:w="4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South America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Middle East and Asia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substantial majority of the Company’s performance obligations for revenues from contracts with clients are satisfied at a point in time and are typically collected from clients by debiting their accounts with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Commission and clearing fees </w:t>
      </w:r>
      <w:r>
        <w:rPr>
          <w:rFonts w:ascii="Times New Roman" w:cs="Times New Roman" w:eastAsia="Times New Roman" w:hAnsi="Times New Roman"/>
          <w:sz w:val="18"/>
          <w:szCs w:val="18"/>
          <w:color w:val="auto"/>
        </w:rPr>
        <w:t>revenue and</w:t>
      </w:r>
      <w:r>
        <w:rPr>
          <w:rFonts w:ascii="Times New Roman" w:cs="Times New Roman" w:eastAsia="Times New Roman" w:hAnsi="Times New Roman"/>
          <w:sz w:val="18"/>
          <w:szCs w:val="18"/>
          <w:i w:val="1"/>
          <w:iCs w:val="1"/>
          <w:color w:val="auto"/>
        </w:rPr>
        <w:t xml:space="preserve"> Consulting, management, and account fees </w:t>
      </w:r>
      <w:r>
        <w:rPr>
          <w:rFonts w:ascii="Times New Roman" w:cs="Times New Roman" w:eastAsia="Times New Roman" w:hAnsi="Times New Roman"/>
          <w:sz w:val="18"/>
          <w:szCs w:val="18"/>
          <w:color w:val="auto"/>
        </w:rPr>
        <w:t>revenue are primarily related to the Commercial, Institutional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Self-Directed/Retail reportable segments. </w:t>
      </w:r>
      <w:r>
        <w:rPr>
          <w:rFonts w:ascii="Times New Roman" w:cs="Times New Roman" w:eastAsia="Times New Roman" w:hAnsi="Times New Roman"/>
          <w:sz w:val="18"/>
          <w:szCs w:val="18"/>
          <w:i w:val="1"/>
          <w:iCs w:val="1"/>
          <w:color w:val="auto"/>
        </w:rPr>
        <w:t>Sales of physical commodities</w:t>
      </w:r>
      <w:r>
        <w:rPr>
          <w:rFonts w:ascii="Times New Roman" w:cs="Times New Roman" w:eastAsia="Times New Roman" w:hAnsi="Times New Roman"/>
          <w:sz w:val="18"/>
          <w:szCs w:val="18"/>
          <w:color w:val="auto"/>
        </w:rPr>
        <w:t xml:space="preserve"> under topic 606 are primarily related to the Company’s Commercial and Self-Directed/Retail segments.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are contributed by all of the Company’s reportable segments.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is primarily related to the Commercial and Institutional reportable segments. Precious metals trading and agricultural and energy product trading revenues are primarily related to the Commercial reportable segment. Precious metals sales that are recognized on a point-in-time basis are included in the Self-Directed/Retail and the Commercial reportable segments.</w:t>
      </w:r>
    </w:p>
    <w:p>
      <w:pPr>
        <w:spacing w:after="0" w:line="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Principal gains, net also includes dividend income on long equity positions and dividend expense on short equity positions, which are recognized on the ex-dividend date. The following table indicates the relevant income and expense: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4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 on long equity positions</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77.7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 expense on short equity positions</w:t>
            </w:r>
          </w:p>
        </w:tc>
        <w:tc>
          <w:tcPr>
            <w:tcW w:w="9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79.1</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Dividend (loss)/income, net reported within </w:t>
            </w:r>
            <w:r>
              <w:rPr>
                <w:rFonts w:ascii="Times New Roman" w:cs="Times New Roman" w:eastAsia="Times New Roman" w:hAnsi="Times New Roman"/>
                <w:sz w:val="14"/>
                <w:szCs w:val="14"/>
                <w:i w:val="1"/>
                <w:iCs w:val="1"/>
                <w:color w:val="auto"/>
              </w:rPr>
              <w:t>Principal gains, net</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are services that the firm has committed to perform in the future in connection with its contracts with clients. The Company’s remaining performance obligations are generally related to its risk management consulting and asset management contracts with clients. Revenues associated with remaining performance obligations related to these contracts with clients are not material to the overall consolidated results of the Company. For the Company’s asset management activities, where fees are calculated based on a percentage of the fair value of eligible assets in clients’ accounts, future revenue associated with remaining performance obligations cannot be determined as such fees are subject to fluctuations in the fair value of eligible assets in clients’ accounts.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Other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consisted of the following,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8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Non-income taxes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related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direct business expenses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Membership fees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 and public company expenses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28"/>
        </w:trPr>
        <w:tc>
          <w:tcPr>
            <w:tcW w:w="5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other expenses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income tax provision for interim periods comprises income tax on ordinary income (loss) at the most recent estimated annual effective income tax rate, adjusted for the income tax effect of discrete items. Management uses an estimated annual effective income tax rate based on the forecasted pretax income/(loss) and statutory tax rates in the various jurisdictions in which the Company operates.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and the G20 Inclusive Framework on Base Erosion and Profit Shifting (the "Inclusive Framework") have put forth Pillar Two proposals that ensure a minimal level of taxation. Several countries in which the Company operates, including several European Union member states, have adopted domestic legislation to implement the Inclusive Framework's global corporate minimum tax rate of fifteen percent. This legislation became effective for the Company beginning October 1, 2024. Based on the Company's current analysis of Pillar Two provisions, these tax law changes did not have a material impact on the Company's financial statements for the nine months ended June 30, 2025, and are not expected to have a material impact for fiscal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Prior Period Tax Expense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Income tax expense of $22.2 million and $26.1 million for the three months ended June 30, 2025 and 2024, respectively, reflects estimated federal, foreign, state and local income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26% and 30% for the three months ended June 30, 2025 and 2024, respectively. The effective tax rate was higher than the U.S. federal statutory rate of 21% for the three months ended June 30, 2025 due to U.S. state and local taxes, Global Intangible Low-Taxed Income (“GILTI”), U.S. and foreign permanent differences, and the amount of foreign earnings taxed at higher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Regulatory Capital Requirements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Company’s activities are subject to significant governmental regulation, both in the U.S. and in the international jurisdictions in which it operates. Subsidiaries of the Company were in compliance with all of their regulatory requirements as of June 30, 2025. The following table details those subsidiaries with minimum regulatory requirements in excess of $10.0 million along with the actual balance maintained as of that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0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320" w:type="dxa"/>
            <w:vAlign w:val="bottom"/>
            <w:gridSpan w:val="2"/>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Regulatory Authority</w:t>
            </w:r>
          </w:p>
        </w:tc>
        <w:tc>
          <w:tcPr>
            <w:tcW w:w="26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1"/>
                <w:szCs w:val="11"/>
                <w:color w:val="auto"/>
              </w:rPr>
            </w:pPr>
          </w:p>
        </w:tc>
        <w:tc>
          <w:tcPr>
            <w:tcW w:w="106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Minimum</w:t>
            </w:r>
          </w:p>
        </w:tc>
        <w:tc>
          <w:tcPr>
            <w:tcW w:w="0" w:type="dxa"/>
            <w:vAlign w:val="bottom"/>
          </w:tcPr>
          <w:p>
            <w:pPr>
              <w:spacing w:after="0"/>
              <w:rPr>
                <w:sz w:val="1"/>
                <w:szCs w:val="1"/>
                <w:color w:val="auto"/>
              </w:rPr>
            </w:pPr>
          </w:p>
        </w:tc>
      </w:tr>
      <w:tr>
        <w:trPr>
          <w:trHeight w:val="195"/>
        </w:trPr>
        <w:tc>
          <w:tcPr>
            <w:tcW w:w="3400" w:type="dxa"/>
            <w:vAlign w:val="bottom"/>
            <w:vMerge w:val="continue"/>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0" w:type="dxa"/>
            <w:vAlign w:val="bottom"/>
          </w:tcPr>
          <w:p>
            <w:pPr>
              <w:spacing w:after="0"/>
              <w:rPr>
                <w:sz w:val="1"/>
                <w:szCs w:val="1"/>
                <w:color w:val="auto"/>
              </w:rPr>
            </w:pPr>
          </w:p>
        </w:tc>
      </w:tr>
      <w:tr>
        <w:trPr>
          <w:trHeight w:val="201"/>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StoneX Financial Inc.</w:t>
            </w:r>
          </w:p>
        </w:tc>
        <w:tc>
          <w:tcPr>
            <w:tcW w:w="52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SEC and CFTC</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StoneX Financial Ltd.</w:t>
            </w:r>
          </w:p>
        </w:tc>
        <w:tc>
          <w:tcPr>
            <w:tcW w:w="53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FCA</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Capital Group, LLC</w:t>
            </w:r>
          </w:p>
        </w:tc>
        <w:tc>
          <w:tcPr>
            <w:tcW w:w="5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CFTC and NFA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StoneX Financial Pte. Ltd.</w:t>
            </w:r>
          </w:p>
        </w:tc>
        <w:tc>
          <w:tcPr>
            <w:tcW w:w="53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MAS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StoneX Markets LLC</w:t>
            </w:r>
          </w:p>
        </w:tc>
        <w:tc>
          <w:tcPr>
            <w:tcW w:w="5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CFTC and NFA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Certain other subsidiaries of the Company, typically with a minimum requirement less than $10.0 million, are also subject to net capital requirements promulgated by authorities in the countries in which they operate. As of June 30, 2025, all of the Company’s subsidiaries were in compliance with their local regulatory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Acquisitions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operating results and cash flows of the acquired businesses from the dates of acquisition.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of JBR Recovery Limited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1, 2024, the Company’s subsidiary, StoneX Metals Limited, executed a sale and purchase agreement to acquire the recycling and refining business, along with certain assets, including licenses, silver inventory and refining/recycling equipment, from JBR Recovery Limited (“JBR”) a company incorporated in England and Wales. This transaction was effective on the closing date of October 1, 2024. The asset purchase was accounted for as a business acquisition in accordance with ASC 805. JBR is one of only two UK companies accredited for the supply of “Good Delivery” silver to the London Bullion Market and is expected to enhance the Company’s supply chain integration.</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purchase price consists of $8.0 million of cash consideration paid at closing, approximately $12.6 million in silver bullion paid at closing, approximately $0.7 million of silver bullion payable upon determination of final silver inventory valuation, and deferred consideration totaling $2.4 million due in two equal annual payments beginning on October 1, 2025. The business activities of JBR have been assigned to the Company’s Commercial reportable segment. The acquisition generated $4.8 million of Goodwill and $2.5 million of intangible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 Finances SA</w:t>
      </w:r>
    </w:p>
    <w:p>
      <w:pPr>
        <w:spacing w:after="0" w:line="121"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On January 31, 2025, the Company executed a share purchase agreement to acquire all of the outstanding shares of Octo Finances SA (“Octo”), a fixed income broker based in Paris, France. Octo, which specializes in bond and convertible sales, debt capital markets, and credit research, expands the Company’s offering in fixed income and strengthens its capabilities in Europe. This transaction was effective on the closing date of January 31, 2025.</w:t>
      </w:r>
    </w:p>
    <w:p>
      <w:pPr>
        <w:spacing w:after="0" w:line="5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purchase price consists of $7.5 million of cash consideration paid at closing, an additional $0.9 million paid within 45 days post closing, and a non-contingent earn-out valued at approximately $0.1 million split between the first two anniversaries of the closing date. The business activities of Octo have been assigned to the Company’s Institutional reportable segment. The acquisition generated $2.1 million of Goodwill and $1.9 million of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R.J. O’Brien</w:t>
      </w:r>
    </w:p>
    <w:p>
      <w:pPr>
        <w:spacing w:after="0" w:line="10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On April 14, 2025, the Company announced that it had entered into a definitive agreement with RTS Merger Sub Inc., RTS Investor Corp., and Westmoor Trail Partners LLC to acquire R.J. O’Brien (“RJO”), the oldest futures brokerage in the U.S. This transaction was effective on the closing date of July 31, 2025, subsequent to approval by regulators and completing customary closing conditions. The purchase price consideration was paid in a combination of cash of approximately $610.6 million and the issuance of 3,085,554 shares of the Company’s common stock. The number of shares issued was determined using a pre-close target value of $275.0 million, as per the merger agreement. The issued shares are subject to certain lock-up provisions that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restrict share transfer per the terms of the relevant agreements. At closing, the Company assumed approximately $125.7 million related to an RJO subordinated debt facility. The facility allows borrowing of up to $180.0 million. The facility matures in April 2027, at which point no further draws can be made. The debt has an interest rate of SOFR + 4.20%. The preliminary allocation of the purchase price to the fair value of assets acquired and liabilities assumed has not yet been completed, because of the proximity of the merger closing date to the date of this report.</w:t>
      </w:r>
    </w:p>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acquisition is expected to significantly strengthen the Company’s position as a leading FCM and enhance its role as an essential part of the global financial market structure, offering institutional grade execution, clearing, custody, and prime brokerage across all asset classes. The acquisition is expected to expand the Company’s client float and add many introducing brokers to its network, while RJO’s clients benefit from the Company’s extensive range of markets, products, and services.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RJO, on July 8, 2025, the Company issued $625.0 million in aggregate principal amount of the Notes due 2032, which are fully and unconditionally guaranteed, jointly and severally, on a senior secured second lien basis, by certain existing and future subsidiaries that guarantee indebtedness under the Company’s senior secured revolving credit facility and certain other senior indebtedness. The Notes due 2032 will mature on July 15, 2032. Interest on the Notes due 2032 accrues at a rate of 6.875% per annum and is payable semiannually in arrears on January 15 and July 15 of each year, commencing on January 15, 2026. On July 31, 2025, the net proceeds from the issuance of the Notes due 2032 were used to fund the cash portion of the purchase price and to pay related fees and expenses, as described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March 11, 2025, the Company announced that it had signed an agreement to acquire The Benchmark Company, LLC (“Benchmark”). Benchmark is a full-service investment banking firm offering a robust sales and trading platform, award-winning equity research, and a highly experienced investment banking team. The purchase price consideration includes cash of approximately $57.1 million and four annual contingent payments, each capped at $7.0 million, plus a final contingent payment for any excess above the annual caps over the four year period following the close, aggregating to an estimated undiscounted amount of $35.0 million. This transaction was effective on the closing date of July 31, 2025, subsequent to approval by regulators and completing customary closing conditions. The preliminary allocation of the purchase price to the fair value of assets acquired and liabilities assumed has not yet been completed, because of the proximity of the merger closing date to the date of this report.</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Headquartered in New York City and operating nationwide, Benchmark has been delivering exceptional client service, market access, and deep market and industry expertise for over 35 years. This acquisition will strengthen the Company’s offerings in equity and debt capital markets, with significant enhancements in equity research and investment banking.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Analysis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operating segments are principally based on the nature of the clients it serves (commercial, institutional, and self-directed/retail), and a fourth operating segment, its payments business. The Company manages its business in this manner due to its large global footprint, in which it has more than 4,700 employees allowing it to serve clients in more than 180 countries.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business activities are managed as operating segments, which are our reportable segments for financial statement purposes as shown below.</w:t>
      </w:r>
    </w:p>
    <w:p>
      <w:pPr>
        <w:spacing w:after="0" w:line="12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Self-Directed/Retail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offers commercial clients a comprehensive array of products and services, including risk management and hedging services, execution and clearing of exchange-traded and OTC products, voice brokerage, market intelligence and physical trading, as well as commodity trading, marketing, procurement, logistics and price management services. The ability to provide these high-value-added products and services differentiates the Company from its competitors and maximizes the opportunity to retain clients.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provides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the Company originates, structures and places debt instruments in the international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20"/>
        <w:spacing w:after="0" w:line="344" w:lineRule="auto"/>
        <w:rPr>
          <w:sz w:val="20"/>
          <w:szCs w:val="20"/>
          <w:color w:val="auto"/>
        </w:rPr>
      </w:pPr>
      <w:r>
        <w:rPr>
          <w:rFonts w:ascii="Times New Roman" w:cs="Times New Roman" w:eastAsia="Times New Roman" w:hAnsi="Times New Roman"/>
          <w:sz w:val="18"/>
          <w:szCs w:val="18"/>
          <w:color w:val="auto"/>
        </w:rPr>
        <w:t xml:space="preserve">domestic capital markets. These instruments include asset-backed securities (primarily in Argentina) and domestic municipal securities. </w:t>
      </w:r>
      <w:r>
        <w:rPr>
          <w:rFonts w:ascii="Times New Roman" w:cs="Times New Roman" w:eastAsia="Times New Roman" w:hAnsi="Times New Roman"/>
          <w:sz w:val="18"/>
          <w:szCs w:val="18"/>
          <w:b w:val="1"/>
          <w:bCs w:val="1"/>
          <w:i w:val="1"/>
          <w:iCs w:val="1"/>
          <w:color w:val="auto"/>
        </w:rPr>
        <w:t>Self-Directed/Retail</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provides self-directed/retail clients around the world access to over 18,000 global financial markets, including spot foreign exchange ("forex"), both financial trading and physical investment in precious metals, as well as CFDs, which are investment products with returns linked to the performance of underlying assets. In addition, its independent wealth management business offers a comprehensive product suite to self-directed/retail investors in the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2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Company provides customized foreign exchange and treasury services to banks and commercial businesses as well as charities and non-governmental organizations and government organizations. The Company provides transparent pricing and offers payment services in more than 180 countries and 140 currencies, which it believes is more than any other payments solution provider.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18"/>
          <w:szCs w:val="18"/>
          <w:color w:val="auto"/>
        </w:rPr>
        <w:t xml:space="preserve">The total revenues reported combine gross revenues from physical contracts for subsidiaries that are not broker-dealers and net revenues for all other businesses. In order to reflect the way that the Company’s management views the results, the table below also reflects the segment contribution to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which is shown on the face of the Condensed Consolidated Income Statements and which is calculated by deducting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commodities cost of sales from total revenues.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Segment data includes the profitability measure of net contribution by segment. Net contribution is one of the key measures used by management to assess the performance of each segment and for decisions regarding the allocation of the Company’s resources. Net contribution is calculated as revenue less direct cost of sales, transaction-based clearing expenses, variable compensation, introducing broker commissions, and interest expense. Variable compensation paid to risk management consultants/traders generally represents a fixed percentage of revenues generated, and in some cases, revenues generated less transaction-based clearing expenses, base salaries and an overhead allocation.</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and other direct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revenues, expenses, receivables and payables are eliminated upon consolidation.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revenues, operating revenues and net operating revenues shown in the table below as “Corporate” primarily consist of interest income from the Company’s centralized corporate treasury function. In the normal course of operations, the Company operates a centralized corporate treasury function in which it may sweep excess cash from certain subsidiaries, where permitted within regulatory limitations, in exchange for a short-term interest bearing intercompany payable, or provide excess cash to subsidiaries in exchange for a short-term interest bearing intercompany receivable in lieu of the subsidiary borrowing on external credit facilities. The intercompany receivables and payables are eliminated during consolidation.</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“Overhead costs and expenses” include costs and expenses of certain shared services such as information technology, accounting and treasury, credit and risk, legal and compliance, and human resources and other activities. These amounts represent the gross overhead costs and expenses, before any allocation of overhead costs to operating segments.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the reportable segments is shown in accordance with the Segment Reporting Topic of the ASC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308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34,028.8</w:t>
            </w:r>
          </w:p>
        </w:tc>
        <w:tc>
          <w:tcPr>
            <w:tcW w:w="16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26,410.3</w:t>
            </w:r>
          </w:p>
        </w:tc>
        <w:tc>
          <w:tcPr>
            <w:tcW w:w="2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97,389.8</w:t>
            </w:r>
          </w:p>
        </w:tc>
        <w:tc>
          <w:tcPr>
            <w:tcW w:w="2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66,867.4</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Self-Directed/Retail</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Eliminations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89"/>
        </w:trPr>
        <w:tc>
          <w:tcPr>
            <w:tcW w:w="4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34,828.8</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27,069.7</w:t>
            </w:r>
          </w:p>
        </w:tc>
        <w:tc>
          <w:tcPr>
            <w:tcW w:w="2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99,654.8</w:t>
            </w:r>
          </w:p>
        </w:tc>
        <w:tc>
          <w:tcPr>
            <w:tcW w:w="2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68,748.8</w:t>
            </w:r>
          </w:p>
        </w:tc>
        <w:tc>
          <w:tcPr>
            <w:tcW w:w="0" w:type="dxa"/>
            <w:vAlign w:val="bottom"/>
          </w:tcPr>
          <w:p>
            <w:pPr>
              <w:spacing w:after="0"/>
              <w:rPr>
                <w:sz w:val="1"/>
                <w:szCs w:val="1"/>
                <w:color w:val="auto"/>
              </w:rPr>
            </w:pPr>
          </w:p>
        </w:tc>
      </w:tr>
      <w:tr>
        <w:trPr>
          <w:trHeight w:val="21"/>
        </w:trPr>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225.8</w:t>
            </w:r>
          </w:p>
        </w:tc>
        <w:tc>
          <w:tcPr>
            <w:tcW w:w="16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2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2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Self-Directed/Retail</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Eliminations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89"/>
        </w:trPr>
        <w:tc>
          <w:tcPr>
            <w:tcW w:w="4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1,024.3</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2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2,924.6</w:t>
            </w:r>
          </w:p>
        </w:tc>
        <w:tc>
          <w:tcPr>
            <w:tcW w:w="2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0" w:type="dxa"/>
            <w:vAlign w:val="bottom"/>
          </w:tcPr>
          <w:p>
            <w:pPr>
              <w:spacing w:after="0"/>
              <w:rPr>
                <w:sz w:val="1"/>
                <w:szCs w:val="1"/>
                <w:color w:val="auto"/>
              </w:rPr>
            </w:pPr>
          </w:p>
        </w:tc>
      </w:tr>
      <w:tr>
        <w:trPr>
          <w:trHeight w:val="21"/>
        </w:trPr>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 (loss):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168.3</w:t>
            </w:r>
          </w:p>
        </w:tc>
        <w:tc>
          <w:tcPr>
            <w:tcW w:w="16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2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2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548.1</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Self-Directed/Retail</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488.3</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1,467.7</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gridSpan w:val="7"/>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(Revenues less cost of sales of physical commodities, transaction-based clearing expenses, variable compensation, introducing</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broker commissions and interest expense)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124.3</w:t>
            </w:r>
          </w:p>
        </w:tc>
        <w:tc>
          <w:tcPr>
            <w:tcW w:w="16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2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2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Self-Directed/Retail</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90"/>
        </w:trPr>
        <w:tc>
          <w:tcPr>
            <w:tcW w:w="4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378.4</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2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2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contribution less non-variable direct segment costs)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Self-Directed/Retail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236.9</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segment income to income before tax:</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Segment income</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0" w:type="dxa"/>
            <w:vAlign w:val="bottom"/>
          </w:tcPr>
          <w:p>
            <w:pPr>
              <w:spacing w:after="0"/>
              <w:rPr>
                <w:sz w:val="1"/>
                <w:szCs w:val="1"/>
                <w:color w:val="auto"/>
              </w:rPr>
            </w:pPr>
          </w:p>
        </w:tc>
      </w:tr>
      <w:tr>
        <w:trPr>
          <w:trHeight w:val="195"/>
        </w:trPr>
        <w:tc>
          <w:tcPr>
            <w:tcW w:w="4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operating loss within Corporate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Overhead costs and expenses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0" w:type="dxa"/>
            <w:vAlign w:val="bottom"/>
          </w:tcPr>
          <w:p>
            <w:pPr>
              <w:spacing w:after="0"/>
              <w:rPr>
                <w:sz w:val="1"/>
                <w:szCs w:val="1"/>
                <w:color w:val="auto"/>
              </w:rPr>
            </w:pPr>
          </w:p>
        </w:tc>
      </w:tr>
      <w:tr>
        <w:trPr>
          <w:trHeight w:val="190"/>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before tax</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85.6</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2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5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5,403.9</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5,387.0</w:t>
            </w:r>
          </w:p>
        </w:tc>
        <w:tc>
          <w:tcPr>
            <w:tcW w:w="3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1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26,168.2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19,492.9</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Self-Directed/Retail</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1,141.0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1,024.1</w:t>
            </w:r>
          </w:p>
        </w:tc>
        <w:tc>
          <w:tcPr>
            <w:tcW w:w="3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1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497.3</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1,055.2</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w:t>
            </w:r>
          </w:p>
        </w:tc>
        <w:tc>
          <w:tcPr>
            <w:tcW w:w="3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34,265.6</w:t>
            </w:r>
          </w:p>
        </w:tc>
        <w:tc>
          <w:tcPr>
            <w:tcW w:w="160" w:type="dxa"/>
            <w:vAlign w:val="bottom"/>
          </w:tcPr>
          <w:p>
            <w:pPr>
              <w:spacing w:after="0"/>
              <w:rPr>
                <w:sz w:val="16"/>
                <w:szCs w:val="16"/>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27,466.3</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document, unless the context otherwise requires, the terms “Company”, “we”, “us” and “our” refer to StoneX Group Inc. and its consolidated subsidiaries.</w:t>
      </w:r>
    </w:p>
    <w:p>
      <w:pPr>
        <w:spacing w:after="0" w:line="1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notes thereto appearing elsewhere in this report. This Quarterly Report on Form 10-Q contains “forward-looking statements” within the meaning of the safe harbor provisions of the Private Securities Litigation Reform Act of 1995. The words “believe,” “may,” “will,” “estimate,” “continue,” “anticipate,” “intend,” “expect,” and similar expressions are intended to identify forward-looking statements. These forward-looking statements involve known and unknown risks and uncertainties, many of which are beyond the control of the Company, including statements about the benefits of our acquisition of RJO, including expected synergies and future financial and operating results, the plans, objectives, expectations and intentions of StoneX after the acquisition, adverse changes in economic, political and market conditions, including losses from our market-making and trading activities arising from counterparty failures, global trade policies and tariffs, the loss of key personnel, the impact of increasing competition, the impact of changes in government regulation, uncertainty concerning fiscal or monetary policies established by central banks and financial regulators, the possibility of liabilities arising from violations of foreign, United States (“U.S.”) federal and U.S. state securities laws, the impact of changes in technology in the securities and commodities trading industries, and other risks discussed in our filings with the SEC, including Part I, Item 1A of our Annual Report on Form 10-K for the year ended September 30, 2024.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We undertake no obligation to publicly update or revise any forward-looking statements, whether as a result of new information, future events or otherwise, except as required by law. We caution readers that any forward-looking statements are not guarantees of future performance.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products and services to allow them to pursue trading opportunities, manage their market risks, make investments and improve their business performance. Our businesses are supported by our global infrastructure of regulated operating subsidiaries, our advanced technology platforms and our team of more than 4,700 employees as of June 30, 2025. We believe our client-first approach differentiates us from large banking institutions, engenders trust and enables us to establish market leading positions in a number of complex fields in financial markets around the world. For additional information, see </w:t>
      </w:r>
      <w:r>
        <w:rPr>
          <w:rFonts w:ascii="Times New Roman" w:cs="Times New Roman" w:eastAsia="Times New Roman" w:hAnsi="Times New Roman"/>
          <w:sz w:val="18"/>
          <w:szCs w:val="18"/>
          <w:i w:val="1"/>
          <w:iCs w:val="1"/>
          <w:color w:val="auto"/>
        </w:rPr>
        <w:t>Overview of Business and Strategy</w:t>
      </w:r>
      <w:r>
        <w:rPr>
          <w:rFonts w:ascii="Times New Roman" w:cs="Times New Roman" w:eastAsia="Times New Roman" w:hAnsi="Times New Roman"/>
          <w:sz w:val="18"/>
          <w:szCs w:val="18"/>
          <w:color w:val="auto"/>
        </w:rPr>
        <w:t xml:space="preserve"> within “Item 1. Business” in our Annual Report on Form 10-K for the fiscal year ended September 30, 2024.</w:t>
      </w:r>
    </w:p>
    <w:p>
      <w:pPr>
        <w:spacing w:after="0" w:line="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report three of our operating segments based primarily on the nature of the clients we serve (commercial, institutional, and self-directed/retail), and a fourth operating segment, our payments business. See Segment Information below for a listing of business activities performed within our reportable segments.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Unless noted otherwise, comparisons in the following discussions relate to the three months ended June 30, 2025 as compared to the same quarter in the prior fiscal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of the Acquisition of R.J. O’Brien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31, 2025, we closed on our previously announced acquisition of R.J. O’Brien (“RJO”). The purchase price consideration was paid in a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cash of approximately $610.6 million and the issuance of 3,085,554 shares of the Company’s common stock. At closing, we assumed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$125.7 million of RJO debt. We believe the acquisition significantly strengthens our position as a leading FCM and enhances our role as an essential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financial market structure, offering institutional grade execution, clearing, custody, and prime brokerage across all asset classes. The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expected to expand our client float and add many introducing brokers to our network, while RJO’s clients benefit from our extensive range of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services.</w:t>
      </w:r>
    </w:p>
    <w:p>
      <w:pPr>
        <w:spacing w:after="0" w:line="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RJO, on July 8, 2025, we issued $625.0 million in aggregate principal amount of Senior Secured Notes due 2032 (the “Notes due 2032”), which are fully and unconditionally guaranteed, jointly and severally, on a senior secured second lien basis, by certain existing and future subsidiaries that guarantees indebtedness under the Company’s senior secured revolving credit facility and certain other senior indebtedness. The Notes due 2032 will mature on July 15, 2032. Interest on the Notes due 2032 accrues at a rate of 6.875% per annum and is payable semiannually in arrears on January 15 and July 15 of each year, commencing on January 15, 2026. On July 31, 2025, the net proceeds from the issuance of the Notes due 2032 were used to fund the cash portion of the purchase price and to pay related fees and expenses, as described above.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of the Acquisition of Benchmark</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July 31, 2025, we closed on our previously announced acquisition of The Benchmark Company, LLC (“Benchmark”). Benchmark is a full-service investment banking firm offering a robust sales and trading platform, award-winning equity research, and a highly experienced investment banking team. We believe this acquisition will strengthen our offerings in equity and debt capital markets, with significant enhancements in equity research and investment banking. The purchase price consideration includes cash of approximately $57.1 million and four annual contingent payments, each capped at $7.0 million, plus a final contingent payment for any excess above the annual caps over the four year period following the close, aggregating to an estimated undiscounted amount of $35.0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Impacts of New Tariffs or Changes to Existing Tariffs</w:t>
      </w:r>
    </w:p>
    <w:p>
      <w:pPr>
        <w:spacing w:after="0" w:line="1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 number of significant structural, political, and monetary issues, and global conflicts continue to confront the global economy, and instability could continue, resulting in changes to the level of inflation, market volatility, potential recession, supply chain constraints and costs, diminished trading volumes, uncertainty, increased operating expenses, and increased costs due to potential new tariffs or changes to existing tariffs. The impact of these events and other factors on our financial position and results of operations is difficult to predict, could affect the comparability of our results of operations from period to period, and may have an adverse effect on our financial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Split</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21, 2025, we completed a three-for-two split of our common stock, effected as a stock dividend entitling each shareholder of record to receive one additional share of common stock for every two shares owned. Additional shares issued as a result of the stock dividend were distributed after close of trading on March 21, 2025, to stockholders of record at the close of business on March 11, 2025. Cash was distributed in lieu of fractional shares based on the opening price of a share of common stock on March 12, 2025. All share and per share amounts contained herein have been retroactively adjusted for this stock split.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achieved modest growth in net operating revenues in the third quarter of fiscal 2025, up 4%, with diminished commodity volatility generally as well as heightened interest expense and logistical charges in our precious metals activities leading to declines in our Commercial segment net operating revenues, partially offsetting growth across all of our other business segments. In addition, the three months ended June 30, 2025 includes $6.5 million of bridge loan financing fees and $2.4 million of professional fees related to merger and acquisition activity.</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experienced an increase in transaction volumes across all of our product offerings, as well as growth in average client equity and average money market/FDIC sweep client balances as compared to the prior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terms of revenue capture on our transactional volumes as compared to the prior fiscal year quarter, we experienced:</w:t>
      </w:r>
    </w:p>
    <w:p>
      <w:pPr>
        <w:spacing w:after="0" w:line="117" w:lineRule="exact"/>
        <w:rPr>
          <w:sz w:val="20"/>
          <w:szCs w:val="20"/>
          <w:color w:val="auto"/>
        </w:rPr>
      </w:pPr>
    </w:p>
    <w:p>
      <w:pPr>
        <w:ind w:left="660" w:right="2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per contract (“RPC”) on listed derivatives decreased 11%, due to client mix and decline from heightened spreads in the prior year in LME base metal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OTC derivatives RPC declined 16%, with diminished commodity volatility leading to lower spreads captured.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growth in securities rate per million (“RPM”), primarily due to improved performance in global equity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Flat FX/CFD RPM.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decline in payments RPM due to generally lower FX spreads in certain markets, most notably in Africa.</w:t>
      </w:r>
    </w:p>
    <w:p>
      <w:pPr>
        <w:spacing w:after="0" w:line="1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Interest and fee income earned on client balances decreased $13.0 million due to declines in short term interest rates, which was partially offset by increases in both average client equity and money market/FDIC client balances.</w:t>
      </w:r>
    </w:p>
    <w:p>
      <w:pPr>
        <w:spacing w:after="0" w:line="27"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Overall segment income decreased $6.8 million, as our Commercial segment decreased $45.5 million, partially offset by increases in our Institutional and Self-Directed/Retail segments of $25.2 million and $13.6 million, respectively. Segment income in our Payments segment decreased $0.1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expense side, we continued to focus on maintaining our variable cost model and limiting the growth of our non-variable</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expenses. Variable expenses were 53% of total expenses in the three months ended June 30, 2025 as compared to 52% in the three months ended June 30, 2024. Non-variable expenses, excluding bad debts, increased $15.9 million, principally due to higher fixed compensation and benefits, professional fees, depreciation and amortization, and non-trading technology.</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three months ended June 30, 2025 include a $2.3 million loss on the disposal of certain capitalized hardware expenditures, partially offset by a gain of $1.0 million related to a class action settlement. The results of the three months ended June 30, 2024 included a gain of $1.8 million related to a class action settlement received.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right="320"/>
        <w:spacing w:after="0" w:line="282" w:lineRule="auto"/>
        <w:rPr>
          <w:sz w:val="20"/>
          <w:szCs w:val="20"/>
          <w:color w:val="auto"/>
        </w:rPr>
      </w:pPr>
      <w:r>
        <w:rPr>
          <w:rFonts w:ascii="Times New Roman" w:cs="Times New Roman" w:eastAsia="Times New Roman" w:hAnsi="Times New Roman"/>
          <w:sz w:val="18"/>
          <w:szCs w:val="18"/>
          <w:color w:val="auto"/>
        </w:rPr>
        <w:t>Net income increased $1.5 million to $63.4 million in the three months ended June 30, 2025. Diluted earnings per share was $1.22 for the three months ended June 30, 2025 compared to $1.25 in the three months ended June 30,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Summary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Our total revenues, as reported, combine gross revenues for the physical commodities business and net revenues for all other businesses. Management believes that operating revenues, which deduct the cost of sales of physical commodities from total revenues, is a more useful financial measure with which</w:t>
      </w:r>
    </w:p>
    <w:p>
      <w:pPr>
        <w:spacing w:after="0" w:line="1" w:lineRule="exact"/>
        <w:rPr>
          <w:sz w:val="20"/>
          <w:szCs w:val="20"/>
          <w:color w:val="auto"/>
        </w:rPr>
      </w:pPr>
    </w:p>
    <w:p>
      <w:pPr>
        <w:jc w:val="center"/>
        <w:ind w:right="360"/>
        <w:spacing w:after="0" w:line="356" w:lineRule="auto"/>
        <w:rPr>
          <w:sz w:val="20"/>
          <w:szCs w:val="20"/>
          <w:color w:val="auto"/>
        </w:rPr>
      </w:pPr>
      <w:r>
        <w:rPr>
          <w:rFonts w:ascii="Times New Roman" w:cs="Times New Roman" w:eastAsia="Times New Roman" w:hAnsi="Times New Roman"/>
          <w:sz w:val="18"/>
          <w:szCs w:val="18"/>
          <w:color w:val="auto"/>
        </w:rPr>
        <w:t xml:space="preserve">to assess our results of operations. The table below sets forth our operating revenues, as well as other key financial measures, for the periods indicated. </w:t>
      </w:r>
      <w:r>
        <w:rPr>
          <w:rFonts w:ascii="Times New Roman" w:cs="Times New Roman" w:eastAsia="Times New Roman" w:hAnsi="Times New Roman"/>
          <w:sz w:val="18"/>
          <w:szCs w:val="18"/>
          <w:b w:val="1"/>
          <w:bCs w:val="1"/>
          <w:color w:val="auto"/>
        </w:rPr>
        <w:t>Financial Information (Unaudited)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80" w:type="dxa"/>
            <w:vAlign w:val="bottom"/>
            <w:tcBorders>
              <w:bottom w:val="single" w:sz="8" w:color="CCEEFF"/>
            </w:tcBorders>
            <w:vMerge w:val="continue"/>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33,839.9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26,196.2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96,883.6</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66,339.0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gains,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442.7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1,209.9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995.7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34,828.8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27,069.7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99,654.8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68,748.8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33,804.5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26,156.0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96,730.2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66,232.7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1,024.3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2,924.6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2,516.1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994.1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792.2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1,467.7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1,312.4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3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355.3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1,172.5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1,065.1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(loss) gains, net</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n/m</w:t>
            </w:r>
          </w:p>
        </w:tc>
        <w:tc>
          <w:tcPr>
            <w:tcW w:w="28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85.6</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w w:val="99"/>
              </w:rPr>
              <w:t>(3)%</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256.0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7"/>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3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average stockholders’ equity</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Sheet information:</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34,265.6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25,930.8</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w:t>
            </w:r>
          </w:p>
        </w:tc>
      </w:tr>
      <w:tr>
        <w:trPr>
          <w:trHeight w:val="21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Payables to lenders under loans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r>
      <w:tr>
        <w:trPr>
          <w:trHeight w:val="195"/>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542.8</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1,978.8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1,607.8</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r>
      <w:tr>
        <w:trPr>
          <w:trHeight w:val="188"/>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n/m = not meaningful to present as a percentage</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4" w:name="page35"/>
    <w:bookmarkEnd w:id="34"/>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operating revenues disaggregated across the key products we provide to our clients and select operating data and metrics used by management in evaluating our performance, for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9"/>
              </w:rPr>
              <w:t>(3)%</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Over-the-counter (“OTC”) derivatives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w w:val="99"/>
              </w:rPr>
              <w:t>(5)%</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Contracts For Difference (“CFD”) contracts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w w:val="93"/>
              </w:rPr>
              <w:t>11%</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9"/>
              </w:rPr>
              <w:t>(2)%</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9"/>
                <w:szCs w:val="9"/>
                <w:color w:val="auto"/>
              </w:rPr>
              <w:t>(1)</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9"/>
              </w:rPr>
              <w:t>(3)%</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average daily volume (“ADV”) (millions)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Securities rate per million (“RPM”) </w:t>
            </w:r>
            <w:r>
              <w:rPr>
                <w:rFonts w:ascii="Times New Roman" w:cs="Times New Roman" w:eastAsia="Times New Roman" w:hAnsi="Times New Roman"/>
                <w:sz w:val="9"/>
                <w:szCs w:val="9"/>
                <w:color w:val="auto"/>
              </w:rPr>
              <w:t>(2)</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9"/>
        </w:trPr>
        <w:tc>
          <w:tcPr>
            <w:tcW w:w="36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Average money market / FDIC sweep client balances</w:t>
            </w: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2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2"/>
                <w:szCs w:val="12"/>
                <w:color w:val="auto"/>
              </w:rPr>
            </w:pP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2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(millions)</w:t>
            </w: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FX/CFD contracts RPM</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ADV (millions)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3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RPM</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9"/>
              </w:rPr>
              <w:t>(6)%</w:t>
            </w:r>
          </w:p>
        </w:tc>
        <w:tc>
          <w:tcPr>
            <w:tcW w:w="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10,515</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40" w:right="540" w:hanging="414"/>
        <w:spacing w:after="0" w:line="212" w:lineRule="auto"/>
        <w:tabs>
          <w:tab w:leader="none" w:pos="4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Give-up fee revenues, related to contract execution for clients of other FCMs, as well as cash and voice brokerage revenues are excluded from the calculation of listed derivatives, average rate per contract.</w:t>
      </w:r>
    </w:p>
    <w:p>
      <w:pPr>
        <w:spacing w:after="0" w:line="2" w:lineRule="exact"/>
        <w:rPr>
          <w:rFonts w:ascii="Times New Roman" w:cs="Times New Roman" w:eastAsia="Times New Roman" w:hAnsi="Times New Roman"/>
          <w:sz w:val="19"/>
          <w:szCs w:val="19"/>
          <w:color w:val="auto"/>
          <w:vertAlign w:val="superscript"/>
        </w:rPr>
      </w:pPr>
    </w:p>
    <w:p>
      <w:pPr>
        <w:ind w:left="440" w:right="200" w:hanging="414"/>
        <w:spacing w:after="0" w:line="212" w:lineRule="auto"/>
        <w:tabs>
          <w:tab w:leader="none" w:pos="4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expense associated with our fixed income activities is deducted from operating revenues in the calculation of Securities RPM, while interest income related to securities lending is excluded.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Operating revenues increased $110.6 million, or 12%, to $1,024.3 million in the three months ended June 30, 2025 compared to $913.7 million in the three months ended June 30, 2024. The table above displays operating revenues disaggregated across the key products we provide to our clients.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listed derivatives decreased $4.1 million, with our Commercial segment down $5.9 million, partially offset by a $1.8 million increase in our Institutional segment.</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OTC derivatives decreased $7.3 million, principally resulting from a 16% decrease in OTC average rate per contract, partially offset by a 6% increase in OTC derivative volumes.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$111.7 million, principally due to a 25% increase in ADV. Carried interest income on fixed income securities is a component of operating revenues, however, interest expense associated with financing these positions is not. In the calculation of securities RPM in the table above, we deduct interest expense associated with our fixed income activities from operating revenues, as well as exclude interest income related to securities lending, in order to provide a more useful measure of the financial performance of our securities business. Net operating revenues derived from securities transactions increased $39.3 million, principally due to the increase in ADV noted above as well as a 15% increase in the securities RPM primarily as a result of improved performance in equity capital markets.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right="30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FX/CFD contracts increased $10.9 million, as a result of a $12.2 million increase in our Self-Directed/Retail segment, which was partially offset by a $1.3 million decrease in Institutional segment FX contracts operating revenues.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revenues from payments increased $2.3 million, principally driven by a 16% increase in payments ADV, which was partially offset by a 6% decline in payments RPM.</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Operating revenues derived from physical contracts decreased $11.4 million, primarily as a result of a $12.9 million decline in physical agricultural and energy operating revenues, which was partially offset by a $1.5 million increase in precious metals operating revenues. Precious metals related operating revenues were unfavorably impacted by unrealized losses on derivative positions of $0.9 million in the three months ended June 30, 2025, related to physical inventories held at the lower of cost or net realizable value. Precious metals operating revenues in the three months ended June 30, 2024, were favorably impacted by realized gains of $8.5 million on the sale of physical inventories carried at the lower of costs or net realizable value, for which losses on related derivative positions were recognized in prior periods.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and OTC derivative businesses, as well as our Correspondent Clearing and Independent Wealth Management businesses, declined $13.0 million, principally as a result of a decline in short term interest rates, which was partially offset by increases in average client equity and average money-market/FDIC sweep client balances of 10% and 25%,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2025 Compared to Nine Months Ended June 30, 2024</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revenues increased $408.5 million, or 16%, to $2,924.6 million in the nine months ended June 30, 2025 compared to $2,516.1 million in the nine months ended June 30, 2024.</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revenues from listed derivatives increased $15.2 million, with our Commercial and Institutional segments up $13.3 million and $1.9 million, respectively.</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revenues in OTC derivatives declined $7.9 million, principally driven by a 11% decline in the average rate per contract, which was partially offset by a 7% increase in OTC contract volumes.</w:t>
      </w:r>
    </w:p>
    <w:p>
      <w:pPr>
        <w:spacing w:after="0" w:line="5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Operating revenue from securities transactions increased $283.3 million, principally due to a 28% increase in securities ADV. Carried interest on fixed income securities is a component of operating revenues, however, interest expense associated with financing these positions is not. In the calculation of securities RPM in the table above, we deduct interest expense associated with our fixed income activities from operating revenues, as well as exclude interest income related to securities lending, in order to provide a more useful measure of the financial performance of our securities business. Net operating revenues derived from securities transactions increased $77.4 million, principally driven by the increase in ADV noted above, as well as a 3% increase in RPM.</w:t>
      </w:r>
    </w:p>
    <w:p>
      <w:pPr>
        <w:spacing w:after="0" w:line="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Operating revenues from FX/CFD contracts increased $25.5 million, with increases of $24.9 million and $0.6 million in our Self-Directed/Retail and Institutional segments, respectively.</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Operating revenues from payments increased by $0.5 million, principally driven by a 17% increase in the ADV, which was partially offset by a 13% decline in payments RPM.</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revenues from physical contracts increased $56.5 million, driven by increases of $21.7 million and $34.8 million in our physical agricultural and energy and precious metals businesses, respectively. Precious metals related operating revenues were unfavorably impacted by $0.2 million and $2.3 million in the nine months ended June 30, 2025 and 2024, respectively, by unrealized losses on derivative positions related to physical inventories carried at the lower of cost or net realizable value.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and OTC derivative businesses, as well as our Correspondent Clearing and Independent Wealth Management businesses, declined $6.3 million, principally as a result of lower short term interest rates which were partially offset by increases of 9% and 20% in average client equity and average money-market/FDIC sweep client balances,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Interest and Transactional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Transaction-based clearing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17%</w:t>
            </w:r>
          </w:p>
        </w:tc>
      </w:tr>
      <w:tr>
        <w:trPr>
          <w:trHeight w:val="190"/>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20" w:type="dxa"/>
            <w:vAlign w:val="bottom"/>
          </w:tcPr>
          <w:p>
            <w:pPr>
              <w:spacing w:after="0"/>
              <w:rPr>
                <w:sz w:val="16"/>
                <w:szCs w:val="16"/>
                <w:color w:val="auto"/>
              </w:rPr>
            </w:pPr>
          </w:p>
        </w:tc>
        <w:tc>
          <w:tcPr>
            <w:tcW w:w="8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9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Expenses were higher in the Equity and Debt Capital Markets businesses, principally related to the increased ADV, along with an increase in ADR conversion fees. Additionally, expenses were higher in our Financial Ag and Energy and Exchange-Traded Futures &amp; Options businesses, principally related to the increase in contracts traded.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Introducing broker commissions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15%</w:t>
            </w:r>
          </w:p>
        </w:tc>
      </w:tr>
      <w:tr>
        <w:trPr>
          <w:trHeight w:val="190"/>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20" w:type="dxa"/>
            <w:vAlign w:val="bottom"/>
          </w:tcPr>
          <w:p>
            <w:pPr>
              <w:spacing w:after="0"/>
              <w:rPr>
                <w:sz w:val="16"/>
                <w:szCs w:val="16"/>
                <w:color w:val="auto"/>
              </w:rPr>
            </w:pPr>
          </w:p>
        </w:tc>
        <w:tc>
          <w:tcPr>
            <w:tcW w:w="8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Expenses were higher in our Independent Wealth Management and Self-Directed/Retail Forex businesses, principally due to increased revenues and higher payouts, as well as in our Financial Ag and Energy and LME businesses, principally due to increased volume and client mix traded. These increases were partially offset by lower introducing broker commissions in our Exchange-Traded Futures &amp; Options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95"/>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96"/>
        </w:trPr>
        <w:tc>
          <w:tcPr>
            <w:tcW w:w="6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Short-term financing facilities of subsidiaries and other direct interest of operating segments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96"/>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attributable to fixed income securities and securities borrowing was principally due to the growth in the size of the security repo and securities lending businesses. The increase in other direct interest expense attributable to operating segments principally resulted from an increase in the activities of our physical precious metals and commodities businesses.</w:t>
      </w:r>
    </w:p>
    <w:p>
      <w:pPr>
        <w:spacing w:after="0" w:line="12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2025, interest expense attributable to corporate funding included $3.1 million of bridge loan financing fees related to the amendment of our corporate revolving credit facility, with the entirety of the estimated term of the bridge financing contained within the quarter. In addition, the quarter included interest expense attributable to corporate funding of $3.4 million, related to bridge loan financing fees for the issuance of the Notes due 2032, which closed on July 8, 2025. In addition to the $3.4 million in the current quarter, $1.3 million of unamortized bridge loan financing fees will be amortized in the three months ended September 30, 2025.</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interest expense attributable to corporate funding included incremental interest from our March 1, 2024 issuance of the Senior Secured Notes due 2031 (the “Notes due 2031”). While funds from the issuance of the Notes due 2031 were used to redeem the Senior Secured Notes due 2025 (the “Notes due 2025”), the redemption did not occur until June 17, 2024, in order to allow us to redeem those notes at par. At the redemption of the Notes due 2025, we recognized a $3.7 million loss on the extinguishment of debt related to the write-off of unamortized original issue discount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7" w:name="page38"/>
    <w:bookmarkEnd w:id="37"/>
    <w:p>
      <w:pPr>
        <w:ind w:right="5220"/>
        <w:spacing w:after="0" w:line="365" w:lineRule="auto"/>
        <w:rPr>
          <w:sz w:val="20"/>
          <w:szCs w:val="20"/>
          <w:color w:val="auto"/>
        </w:rPr>
      </w:pPr>
      <w:r>
        <w:rPr>
          <w:rFonts w:ascii="Times New Roman" w:cs="Times New Roman" w:eastAsia="Times New Roman" w:hAnsi="Times New Roman"/>
          <w:sz w:val="18"/>
          <w:szCs w:val="18"/>
          <w:i w:val="1"/>
          <w:iCs w:val="1"/>
          <w:color w:val="auto"/>
        </w:rPr>
        <w:t xml:space="preserve">Nine Months Ended June 30, 2025 Compared to Nine Months Ended June 30, 2024 </w:t>
      </w:r>
      <w:r>
        <w:rPr>
          <w:rFonts w:ascii="Times New Roman" w:cs="Times New Roman" w:eastAsia="Times New Roman" w:hAnsi="Times New Roman"/>
          <w:sz w:val="18"/>
          <w:szCs w:val="18"/>
          <w:u w:val="single" w:color="auto"/>
          <w:color w:val="auto"/>
        </w:rPr>
        <w:t>Transaction-based clearing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9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Expenses were higher in the Equity and Debt Capital Markets businesses, principally related to the increased ADV, along with an increase in ADR conversion fees. Additionally, expenses were higher in our Financial Ag and Energy and Exchange-Traded Futures &amp; Options businesses, principally related to the increase in contracts traded, and within our Correspondent Clearing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Introducing broker commissions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Expenses were higher in our Independent Wealth Management and Self-Directed/Retail Forex businesses, principally due to increased revenues and higher payouts, as well as in our Financial Ag and Energy and LME businesses, principally due to increased volume and client mix traded. These increases were partially offset by lower introducing broker commissions in our Exchange-Traded Futures &amp; Options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1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95"/>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6"/>
        </w:trPr>
        <w:tc>
          <w:tcPr>
            <w:tcW w:w="6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Short-term financing facilities of subsidiaries and other direct interest of operating segments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96"/>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attributable to fixed income securities and securities borrowing was principally due to the growth in the size of the security repo and securities lending businesses. The increase in other direct interest expense attributable to operating segments principally resulted from an increase in our physical precious metals business activities and our equity securities trading activities.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June 30, 2025, interest expense attributable to corporate funding included $3.1 million of bridge loan financing fees related to the amendment of our revolving credit facility. In addition, the period included interest expense attributable to corporate funding of $3.4 million, related to bridge loan financing fees for the issuance of the Notes due 2032, which closed on July 8, 2025. In addition to the $3.4 million in the current quarter, $1.3 million of unamortized bridge loan financing fees will be amortized in the three months ended September 30, 2025.</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June 30, 2024, interest expense attributable to corporate funding included incremental interest from our March 1, 2024 issuance of the Notes due 2031. While funds from the issuance of the Notes due 2031 were used to redeem the Notes due 2025, the redemption did not occur until June 17, 2024, in order to allow us to redeem those notes at par. At the redemption of the Notes due 2025, we recognized a $3.7 million loss on the extinguishment of debt related to the write-off of unamortized original issue discount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Net Operating Revenues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Net operating revenues is one of the key measures used by management to assess operating segment performance.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clients to us. Net operating revenues represent revenues available to pay variable compensation to risk management consultants and traders and direct non-variable expenses, as well as variable and non-variable expenses of operational and administrative employees, including our executive management team.</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table below presents a disaggregation of consolidated net operating revenues used by management in evaluating our performance,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Revenues (in millions):</w:t>
            </w: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net / fees earned on client balances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Other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expenses, other than interest and transactional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386.2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385.6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355.1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1,065.1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Compensation and Other Expenses: </w:t>
      </w:r>
      <w:r>
        <w:rPr>
          <w:rFonts w:ascii="Times New Roman" w:cs="Times New Roman" w:eastAsia="Times New Roman" w:hAnsi="Times New Roman"/>
          <w:sz w:val="18"/>
          <w:szCs w:val="18"/>
          <w:color w:val="auto"/>
        </w:rPr>
        <w:t>Compensation and other expenses increased $19.1 million, or 5%, to $401.4 million in the three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2025 compared to $382.3 million in the three months ended June 30,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Front office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Administrative, executive, and centralized and local operations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variable compensation and benefits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6780" w:type="dxa"/>
            <w:vAlign w:val="bottom"/>
          </w:tcPr>
          <w:p>
            <w:pPr>
              <w:ind w:left="460"/>
              <w:spacing w:after="0"/>
              <w:rPr>
                <w:sz w:val="20"/>
                <w:szCs w:val="20"/>
                <w:color w:val="auto"/>
              </w:rPr>
            </w:pPr>
            <w:r>
              <w:rPr>
                <w:rFonts w:ascii="Times New Roman" w:cs="Times New Roman" w:eastAsia="Times New Roman" w:hAnsi="Times New Roman"/>
                <w:sz w:val="14"/>
                <w:szCs w:val="14"/>
                <w:i w:val="1"/>
                <w:iCs w:val="1"/>
                <w:color w:val="auto"/>
              </w:rPr>
              <w:t>Variable compensation and benefits as a percentage of net operating revenues</w:t>
            </w:r>
          </w:p>
        </w:tc>
        <w:tc>
          <w:tcPr>
            <w:tcW w:w="220" w:type="dxa"/>
            <w:vAlign w:val="bottom"/>
          </w:tcPr>
          <w:p>
            <w:pPr>
              <w:spacing w:after="0"/>
              <w:rPr>
                <w:sz w:val="17"/>
                <w:szCs w:val="17"/>
                <w:color w:val="auto"/>
              </w:rPr>
            </w:pPr>
          </w:p>
        </w:tc>
        <w:tc>
          <w:tcPr>
            <w:tcW w:w="820" w:type="dxa"/>
            <w:vAlign w:val="bottom"/>
          </w:tcPr>
          <w:p>
            <w:pPr>
              <w:jc w:val="center"/>
              <w:ind w:right="168"/>
              <w:spacing w:after="0"/>
              <w:rPr>
                <w:sz w:val="20"/>
                <w:szCs w:val="20"/>
                <w:color w:val="auto"/>
              </w:rPr>
            </w:pPr>
            <w:r>
              <w:rPr>
                <w:rFonts w:ascii="Times New Roman" w:cs="Times New Roman" w:eastAsia="Times New Roman" w:hAnsi="Times New Roman"/>
                <w:sz w:val="14"/>
                <w:szCs w:val="14"/>
                <w:i w:val="1"/>
                <w:iCs w:val="1"/>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i w:val="1"/>
                <w:iCs w:val="1"/>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Non-variable salaries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0" w:type="dxa"/>
            <w:vAlign w:val="bottom"/>
          </w:tcPr>
          <w:p>
            <w:pPr>
              <w:spacing w:after="0"/>
              <w:rPr>
                <w:sz w:val="1"/>
                <w:szCs w:val="1"/>
                <w:color w:val="auto"/>
              </w:rPr>
            </w:pPr>
          </w:p>
        </w:tc>
      </w:tr>
      <w:tr>
        <w:trPr>
          <w:trHeight w:val="195"/>
        </w:trPr>
        <w:tc>
          <w:tcPr>
            <w:tcW w:w="6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Employee benefits and other compensation</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Severance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fixed compensation and benefits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267.3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i w:val="1"/>
                <w:iCs w:val="1"/>
                <w:color w:val="auto"/>
              </w:rPr>
              <w:t>Total compensation and benefits as a percentage of operating 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i w:val="1"/>
                <w:iCs w:val="1"/>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i w:val="1"/>
                <w:iCs w:val="1"/>
                <w:color w:val="auto"/>
              </w:rPr>
              <w:t>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employees, end of period</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Non-variable salaries increased within the Commercial and Institutional segments, as well as within our overhead departments, principally due to the increase in headcount, as well as the impact of annual merit increases.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Employee benefits and other compensation during the three months ended June 30, 2024 included $0.9 million in accelerated long-term incentive due to the departure of an executive officer.</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Share-based compensation, which contains stock option and restricted stock expense, increased principally due to additional restricted stock grants and the increase in the value of previously granted restricted stock awards related to employee-elected and statutorily-required deferred incentive, which is exchanged for restricted stock that is amortized over a thirty-six month period following the grant date. The three months ended June 30, 2024 also included $0.9 million in accelerated share-based compensation due to the departure of the executive 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during the three months ended June 30, 2024 included an amount related to the departure of an executive officer.</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increased $9.3 million, or 7%, to $134.1 million in the three months ended June 30,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$124.8 million in the three months ended June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increased $3.9 million, principally due to higher legal fees related to acquisitions and matters in which we are defendants.</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$2.6 million, principally due to incremental depreciation expense from internally developed software placed into service, partially offset by lower amortization, as certain intangibles, recognized as part the acquisition of Gain Capital Holdings, Inc. in fiscal 2020, became fully amortized during fiscal 2024.</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expenses during the three months ended June 30, 2024 included an accrual of $3.5 million related to the settlement of a post-acquisition commitment contingency.</w:t>
      </w:r>
    </w:p>
    <w:p>
      <w:pPr>
        <w:spacing w:after="0" w:line="5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(Loss) Gains, net: </w:t>
      </w:r>
      <w:r>
        <w:rPr>
          <w:rFonts w:ascii="Times New Roman" w:cs="Times New Roman" w:eastAsia="Times New Roman" w:hAnsi="Times New Roman"/>
          <w:sz w:val="18"/>
          <w:szCs w:val="18"/>
          <w:color w:val="auto"/>
        </w:rPr>
        <w:t>The results of the three months ended June 30, 2025 included a $2.3 million loss on the disposal of certain capitalized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partially offset by a gain of $1.0 million related to a class action settlement. The results of the three months ended June 30, 2024 included a gain of $1.8 million related to a class action settlement.</w:t>
      </w:r>
    </w:p>
    <w:p>
      <w:pPr>
        <w:spacing w:after="0" w:line="6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The effective income tax rate was 26% and 30% in the three months ended June 30, 2025 and 2024, respectively. The effective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for the three months ended June 30, 2025 and 2024 was higher than the U.S. federal statutory rate of 21% due to U.S. state and local taxes, global intangible low taxed income (“GILTI”), U.S. and foreign permanent differences, and the amount of foreign earnings taxed at higher rates.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2025 Compared to Nine Months Ended June 30, 2024</w:t>
      </w:r>
    </w:p>
    <w:p>
      <w:pPr>
        <w:spacing w:after="0" w:line="1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Compensation and Other Expenses: </w:t>
      </w:r>
      <w:r>
        <w:rPr>
          <w:rFonts w:ascii="Times New Roman" w:cs="Times New Roman" w:eastAsia="Times New Roman" w:hAnsi="Times New Roman"/>
          <w:sz w:val="18"/>
          <w:szCs w:val="18"/>
          <w:color w:val="auto"/>
        </w:rPr>
        <w:t>Compensation and other expenses increased $107.4 million, or 10%, to $1,172.5 million in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2025 compared to $1,065.1 million in the nine months ended June 30,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Front office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Administrative, executive, and centralized and local operations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variable compensation and benefits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6"/>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i w:val="1"/>
                <w:iCs w:val="1"/>
                <w:color w:val="auto"/>
              </w:rPr>
              <w:t>Variable compensation and benefits as a percentage of net operating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Non-variable salaries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5"/>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Employee benefits and other compensation</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Severance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fixed compensation and benefits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363.0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786.9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710.0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i w:val="1"/>
                <w:iCs w:val="1"/>
                <w:color w:val="auto"/>
              </w:rPr>
              <w:t>Total compensation and benefits as a percentage of operating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employees, end of period</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Non-variable salaries increased within the Commercial and Institutional segments, as well as within our overhead departments, principally due to the increase in headcount, as well as the impact of annual merit increases.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Employee benefits and other compensation increased principally due to higher payroll taxes, retirement costs, and healthcare benefits principally related to the increase in headcount, as well as a decrease in employee-elected deferred incentive, which is exchanged for restricted stock that is amortized over a thirty-six month period following the grant date. The nine months ended June 30, 2025 and 2024 included $0.9 million in accelerated long-term incentive due to the departures of executive officers.</w:t>
      </w:r>
    </w:p>
    <w:p>
      <w:pPr>
        <w:spacing w:after="0" w:line="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Share-based compensation, which contains stock option and restricted stock expense, increased principally due to the issuance of additional stock option awards during the first quarter of 2024 and additional restricted stock grants, as well as from increased restricted stock amortization related to employee-elected and statutorily-required deferred incentive, which results in cash exchanged for restricted stock that is amortized over a thirty-six month period following the grant date. The nine months ended June 30, 2025 and 2024 also included $1.1 million and $0.9 million, respectively, in accelerated share-based compensation due to the departure of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June 30, 2025 and 2024, severance costs included amounts related to the departure of executive officers.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increased $30.5 million, or 9%, to $385.6 million in the nine months ended June 30,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$355.1 million in the nine months ended June 30,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Non-trading technology and support costs increased $8.1 million, principally due to an increase in headcount driven technology costs and compliance costs.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Occupancy and equipment rental costs increased $5.6 million, principally due to the nine months ended June 30, 2024 including a partial refund of property rates covering prior years in London. The increase is also due to additional office space acquired in London, as we consolidate office space in order to support our current and anticipated future growth, as well as higher costs in India and the U.S.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$10.4 million, principally due to incremental depreciation expense from internally developed software placed into service, partially offset by lower amortization, as certain intangibles, recognized as part the acquisition of Gain Capital Holdings, Inc. in fiscal 2020, became fully amortized during fiscal 2024.</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nine months ended June 30, 2025, we recorded bad debts, net of recoveries of $2.3 million, principally related to bad debt expense from client trading deficits in our Self-Directed/Retail segment and Financial Ag &amp; Energy business of our Commercial segment of $1.5 million and $1.1 million, respectively, which were partially offset by $0.3 million of recoveries within the LME business of our Commercial segment and our Institutional segment. During the nine months ended June 30, 2024, we recorded net recoveries of bad debts of $0.2 million, principally related to recoveries within our Institutional segment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1" w:name="page42"/>
    <w:bookmarkEnd w:id="41"/>
    <w:p>
      <w:pPr>
        <w:ind w:right="180"/>
        <w:spacing w:after="0" w:line="282" w:lineRule="auto"/>
        <w:rPr>
          <w:sz w:val="20"/>
          <w:szCs w:val="20"/>
          <w:color w:val="auto"/>
        </w:rPr>
      </w:pPr>
      <w:r>
        <w:rPr>
          <w:rFonts w:ascii="Times New Roman" w:cs="Times New Roman" w:eastAsia="Times New Roman" w:hAnsi="Times New Roman"/>
          <w:sz w:val="18"/>
          <w:szCs w:val="18"/>
          <w:color w:val="auto"/>
        </w:rPr>
        <w:t>of $1.8 million, which were partially offset by bad debt expense of $1.0 million of client receivables in the Payments segment and $0.6 million within the Self-Directed/Retail segment.</w:t>
      </w:r>
    </w:p>
    <w:p>
      <w:pPr>
        <w:spacing w:after="0" w:line="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(Loss) Gains, net: </w:t>
      </w:r>
      <w:r>
        <w:rPr>
          <w:rFonts w:ascii="Times New Roman" w:cs="Times New Roman" w:eastAsia="Times New Roman" w:hAnsi="Times New Roman"/>
          <w:sz w:val="18"/>
          <w:szCs w:val="18"/>
          <w:color w:val="auto"/>
        </w:rPr>
        <w:t>The results of the nine months ended June 30, 2025 include gains of $6.7 million, resulting from proceeds received from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settlements, partially offset by a $2.3 million loss on the disposal of certain capitalized hardware expenditures. The results of the nine months ended June 30, 2024 included gains of $8.7 million resulting from proceeds received from class action settlements.</w:t>
      </w:r>
    </w:p>
    <w:p>
      <w:pPr>
        <w:spacing w:after="0" w:line="6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Our effective income tax rate was 27% and 28% for nine months ended June 30, 2025 and 2024, respectively. The effective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rate was higher than the U.S. federal statutory rate of 21% due to U.S. state and local taxes, changes in valuation allowances, U.K. bank tax, U.S. permanent differences, GILTI, and the amount of foreign earnings taxed at higher tax rates.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vs. Fixed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variable expenses and non-variable expenses as a percentage of total non-interest expenses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variable expenses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836.6</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744.2</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expenses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non-variable expenses</w:t>
            </w: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2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1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1,585.2</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variable expenses include variable compensation paid to traders and risk management consultants, bonuses paid to operational, administrative, and executive employees, transaction-based clearing expenses and introducing broker commissions. We seek to make our non-interest expenses variable to the greatest extent possible, and to keep our fixed costs as low as possible.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operating segments are based principally on the nature of the clients we serve (commercial, institutional, and self-directed/retail), and a fourth operating segment, our payments business. We manage our business in this manner due to our large global footprint, in which we have more than 4,700 employees allowing us to serve clients in more than 180 countries.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activities are managed as operating segments, which are our reportable segments for financial reporting purposes, as shown below.</w:t>
      </w:r>
    </w:p>
    <w:p>
      <w:pPr>
        <w:spacing w:after="0" w:line="1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344"/>
        </w:trPr>
        <w:tc>
          <w:tcPr>
            <w:tcW w:w="13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2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Institutional</w:t>
            </w:r>
          </w:p>
        </w:tc>
        <w:tc>
          <w:tcPr>
            <w:tcW w:w="1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Self-Directed/Retail</w:t>
            </w:r>
          </w:p>
        </w:tc>
        <w:tc>
          <w:tcPr>
            <w:tcW w:w="14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3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4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0" w:type="dxa"/>
            <w:vAlign w:val="bottom"/>
          </w:tcPr>
          <w:p>
            <w:pPr>
              <w:spacing w:after="0"/>
              <w:rPr>
                <w:sz w:val="1"/>
                <w:szCs w:val="1"/>
                <w:color w:val="auto"/>
              </w:rPr>
            </w:pPr>
          </w:p>
        </w:tc>
      </w:tr>
      <w:tr>
        <w:trPr>
          <w:trHeight w:val="180"/>
        </w:trPr>
        <w:tc>
          <w:tcPr>
            <w:tcW w:w="260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Financial Ag</w:t>
            </w: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tcPr>
          <w:p>
            <w:pPr>
              <w:jc w:val="center"/>
              <w:ind w:right="1340"/>
              <w:spacing w:after="0" w:line="181" w:lineRule="exact"/>
              <w:rPr>
                <w:sz w:val="20"/>
                <w:szCs w:val="20"/>
                <w:color w:val="auto"/>
              </w:rPr>
            </w:pPr>
            <w:r>
              <w:rPr>
                <w:rFonts w:ascii="Times New Roman" w:cs="Times New Roman" w:eastAsia="Times New Roman" w:hAnsi="Times New Roman"/>
                <w:sz w:val="18"/>
                <w:szCs w:val="18"/>
                <w:color w:val="auto"/>
                <w:w w:val="99"/>
              </w:rPr>
              <w:t>Equity Capital</w:t>
            </w: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Forex/CFD</w:t>
            </w:r>
          </w:p>
        </w:tc>
        <w:tc>
          <w:tcPr>
            <w:tcW w:w="1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&amp; Energy</w:t>
            </w: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jc w:val="center"/>
              <w:ind w:right="13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600" w:type="dxa"/>
            <w:vAlign w:val="bottom"/>
            <w:tcBorders>
              <w:left w:val="single" w:sz="8" w:color="auto"/>
              <w:right w:val="single" w:sz="8" w:color="auto"/>
            </w:tcBorders>
            <w:gridSpan w:val="2"/>
            <w:vMerge w:val="continue"/>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LME Metals</w:t>
            </w: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Debt Capital</w:t>
            </w:r>
          </w:p>
        </w:tc>
        <w:tc>
          <w:tcPr>
            <w:tcW w:w="1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Independent</w:t>
            </w:r>
          </w:p>
        </w:tc>
        <w:tc>
          <w:tcPr>
            <w:tcW w:w="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Payment Technology</w:t>
            </w: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jc w:val="center"/>
              <w:ind w:right="13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Wealth Management</w:t>
            </w:r>
          </w:p>
        </w:tc>
        <w:tc>
          <w:tcPr>
            <w:tcW w:w="14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86"/>
        </w:trPr>
        <w:tc>
          <w:tcPr>
            <w:tcW w:w="1320" w:type="dxa"/>
            <w:vAlign w:val="bottom"/>
            <w:tcBorders>
              <w:lef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00" w:type="dxa"/>
            <w:vAlign w:val="bottom"/>
            <w:tcBorders>
              <w:left w:val="single" w:sz="8" w:color="auto"/>
              <w:right w:val="single" w:sz="8" w:color="auto"/>
            </w:tcBorders>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Physical Ag</w:t>
            </w: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FX Prime Brokerage</w:t>
            </w:r>
          </w:p>
        </w:tc>
        <w:tc>
          <w:tcPr>
            <w:tcW w:w="1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&amp; Energy</w:t>
            </w: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600" w:type="dxa"/>
            <w:vAlign w:val="bottom"/>
            <w:tcBorders>
              <w:left w:val="single" w:sz="8" w:color="auto"/>
              <w:right w:val="single" w:sz="8" w:color="auto"/>
            </w:tcBorders>
            <w:gridSpan w:val="2"/>
            <w:vMerge w:val="continue"/>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Precious Metals</w:t>
            </w: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Exchange-Traded</w:t>
            </w:r>
          </w:p>
        </w:tc>
        <w:tc>
          <w:tcPr>
            <w:tcW w:w="1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Futures &amp; Options</w:t>
            </w:r>
          </w:p>
        </w:tc>
        <w:tc>
          <w:tcPr>
            <w:tcW w:w="16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20" w:type="dxa"/>
            <w:vAlign w:val="bottom"/>
            <w:tcBorders>
              <w:lef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32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jc w:val="center"/>
              <w:ind w:right="1320"/>
              <w:spacing w:after="0" w:line="184" w:lineRule="exact"/>
              <w:rPr>
                <w:sz w:val="20"/>
                <w:szCs w:val="20"/>
                <w:color w:val="auto"/>
              </w:rPr>
            </w:pPr>
            <w:r>
              <w:rPr>
                <w:rFonts w:ascii="Times New Roman" w:cs="Times New Roman" w:eastAsia="Times New Roman" w:hAnsi="Times New Roman"/>
                <w:sz w:val="18"/>
                <w:szCs w:val="18"/>
                <w:color w:val="auto"/>
                <w:w w:val="99"/>
              </w:rPr>
              <w:t>Correspondent</w:t>
            </w:r>
          </w:p>
        </w:tc>
        <w:tc>
          <w:tcPr>
            <w:tcW w:w="1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3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Clearing</w:t>
            </w:r>
          </w:p>
        </w:tc>
        <w:tc>
          <w:tcPr>
            <w:tcW w:w="160" w:type="dxa"/>
            <w:vAlign w:val="bottom"/>
            <w:tcBorders>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Operating revenues, net operating revenues, net contribution and segment income are some of the key measures used by management to assess the performance of each segment and for decisions regarding the allocation of our resources. Operating revenues are calculated as total revenues less cost of sales of physical commodities.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revenues are calculated as operating revenues less transaction-based clearing expenses, introducing broker commissions and interest expense.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contribution is calculated as net operating revenues less variable compensation. Variable compensation paid to risk management consultants and traders generally represents a fixed percentage that can vary by revenue type. This fixed percentage is applied to revenues generated, and in some cases, revenues generated less transaction-based clearing expenses, base salaries and other expenses/allocations.</w:t>
      </w:r>
    </w:p>
    <w:p>
      <w:pPr>
        <w:spacing w:after="0" w:line="68"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Segment income is calculated as net contribution less non-variable direct segment costs. These non-variable direct expenses include trader base compensation and benefits, operational charges, trading systems and market information, professional fees, travel and business development, communications, bad debts, trade errors and direct marketing expenses.</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Segment income is used by our chief operating decision maker (“CODM”) as the primary measure of segment profit or loss in the evaluation for each of our operating segments. In addition, the CODM also uses ‘Segment income, less allocation of overhead costs’ as an additional segment measure of our segments’ financial performance.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 The measure of segment profit or loss most consistent with the corresponding amounts in the condensed consolidated financial statements is segment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Total Segment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summary information concerning all of our business segments combined.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7"/>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0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1"/>
                <w:szCs w:val="11"/>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10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0"/>
        </w:trPr>
        <w:tc>
          <w:tcPr>
            <w:tcW w:w="2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33,839.9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26,196.2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96,883.6</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66,339.0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1,223.0</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34,823.8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27,074.4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99,657.1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68,753.5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33,804.5</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26,156.0</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96,730.2</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66,232.7</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1,019.3</w:t>
            </w:r>
          </w:p>
        </w:tc>
        <w:tc>
          <w:tcPr>
            <w:tcW w:w="10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2,926.9</w:t>
            </w:r>
          </w:p>
        </w:tc>
        <w:tc>
          <w:tcPr>
            <w:tcW w:w="10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2,520.8</w:t>
            </w:r>
          </w:p>
        </w:tc>
        <w:tc>
          <w:tcPr>
            <w:tcW w:w="10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00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20" w:type="dxa"/>
            <w:vAlign w:val="bottom"/>
            <w:tcBorders>
              <w:bottom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1,007.7</w:t>
            </w:r>
          </w:p>
        </w:tc>
        <w:tc>
          <w:tcPr>
            <w:tcW w:w="104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104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020" w:type="dxa"/>
            <w:vAlign w:val="bottom"/>
            <w:tcBorders>
              <w:bottom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4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104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0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10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(loss) gains, net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8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Segment income, less allocation of overhead</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marketing, procurement, logistics and price management services. We believe providing these high-value-added products and services differentiates us from our competitors and maximizes our opportunity to retain our clients.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ind w:right="14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Commercial segment, for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33,828.7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26,186.1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96,817.9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66,305.6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26,410.3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97,389.8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66,867.4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26,148.1</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96,683.1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66,206.3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111%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114%</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0" w:type="dxa"/>
            <w:vAlign w:val="bottom"/>
          </w:tcPr>
          <w:p>
            <w:pPr>
              <w:spacing w:after="0"/>
              <w:rPr>
                <w:sz w:val="1"/>
                <w:szCs w:val="1"/>
                <w:color w:val="auto"/>
              </w:rPr>
            </w:pPr>
          </w:p>
        </w:tc>
      </w:tr>
      <w:tr>
        <w:trPr>
          <w:trHeight w:val="195"/>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4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gains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0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r>
      <w:tr>
        <w:trPr>
          <w:trHeight w:val="21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OTC derivatives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4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706.7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5"/>
        </w:trPr>
        <w:tc>
          <w:tcPr>
            <w:tcW w:w="4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29,704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r>
      <w:tr>
        <w:trPr>
          <w:trHeight w:val="210"/>
        </w:trPr>
        <w:tc>
          <w:tcPr>
            <w:tcW w:w="4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4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210"/>
        </w:trPr>
        <w:tc>
          <w:tcPr>
            <w:tcW w:w="4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r>
      <w:tr>
        <w:trPr>
          <w:trHeight w:val="188"/>
        </w:trPr>
        <w:tc>
          <w:tcPr>
            <w:tcW w:w="4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58.06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56.68</w:t>
            </w:r>
          </w:p>
        </w:tc>
        <w:tc>
          <w:tcPr>
            <w:tcW w:w="8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r>
    </w:tbl>
    <w:p>
      <w:pPr>
        <w:spacing w:after="0" w:line="127" w:lineRule="exact"/>
        <w:rPr>
          <w:sz w:val="20"/>
          <w:szCs w:val="20"/>
          <w:color w:val="auto"/>
        </w:rPr>
      </w:pPr>
    </w:p>
    <w:p>
      <w:pPr>
        <w:ind w:left="440" w:right="520" w:hanging="414"/>
        <w:spacing w:after="0" w:line="204" w:lineRule="auto"/>
        <w:tabs>
          <w:tab w:leader="none" w:pos="4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Give-up fee revenues, related to contract execution for clients of other FCMs, as well as cash and voice brokerage revenues are excluded from the calculation of listed derivatives, average rate per contract.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Operating revenues decreased $36.4 million, or 14%, to $225.8 million in the three months ended June 30, 2025 compared to $262.2 million in the three months ended June 30, 2024. Net operating revenues decreased $52.2 million, or 24%, to $168.3 million in the three months ended June 30, 2025 compared to $220.5 million in the three months ended June 30, 2024.</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listed derivatives decreased $5.9 million, principally resulting from the 26% decrease in the average rate per contract, partially offset by a 24% increase in listed derivatives contract volumes. The decline in the average rate per contract was primarily related to activity in LME base metals markets as compared to the prior year, as the prior year benefited from a widening of spreads related to U.S. and U.K. imposed sanctions on Russian base metals exports.</w:t>
      </w:r>
    </w:p>
    <w:p>
      <w:pPr>
        <w:sectPr>
          <w:pgSz w:w="11900" w:h="16838" w:orient="portrait"/>
          <w:cols w:equalWidth="0" w:num="1">
            <w:col w:w="11220"/>
          </w:cols>
          <w:pgMar w:left="320" w:top="94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type w:val="continuous"/>
        </w:sectPr>
      </w:pPr>
    </w:p>
    <w:bookmarkStart w:id="45" w:name="page46"/>
    <w:bookmarkEnd w:id="45"/>
    <w:p>
      <w:pPr>
        <w:ind w:right="4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OTC derivatives decreased $7.3 million, principally resulting from a 16% decrease in the average rate per contract, which was partially offset by a 6% increase in OTC derivative volumes.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revenues derived from physical contracts decreased $12.9 million, as a result of a $0.3 million decrease in precious metals operating revenues, and a $12.9 million decrease in physical agricultural and energy operating revenues. Precious metals related operating revenues were unfavorably impacted by unrealized losses on derivative positions of $0.7 million in the three months ended June 30, 2025, related to physical inventories held at the lower of cost or net realizable value. Precious metals operating revenues in the three months ended June 30, 2024, were favorably impacted by realized gains of $8.4 million on the sale of physical inventories carried at the lower of costs or net realizable value, for which losses on related derivative positions were recognized in prior periods. These effects, were partially offset by increased client activity related to market volatility driven by concerns surrounding potential tariffs to be imposed by the U.S. government on imported precious metals. The decline in physical agricultural and energy operating revenues were primarily driven by diminished performance in global cotton, coffee and cocoa markets.</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and fee income earned on client balances declined $9.8 million, with a 1% decrease in average client equity combined with a decline in short term interest rates.</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Interest expense increased $12.2 million, primarily related to heightened interest expense in our precious metals business related to carrying costs on inventory being held in the U.S. to mitigate against possible U.S. government tariffs on imported precious metals.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35% and 31% for the three months ended June 30, 2025 and 2024, respectively.</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Segment income decreased $45.5 million, as compared to a record $125.7 million in the three months ended June 30, 2024, principally due to the decline in operating revenues combined with the increase in interest expense, as well as a $2.1 million increase in non-variable direct expenses. Segment income for the three months ended June 30, 2025 includes a gain of $1.0 million related to proceeds received from a class action settlement.</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we calculated an allocation for overhead costs of $9.8 million for the Commercial segment compared to an $8.9 million allocation in the three months ended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2025 Compared to Nine Months Ended June 30, 2024</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revenues increased $45.6 million, or 7%, to $706.7 million in the nine months ended June 30, 2025 compared to $661.1 million in the nine months ended June 30, 2024. Net operating revenues increased $2.7 million, or 0.5%, to $550.8 million in the nine months ended June 30, 2025 compared to $548.1 million in the nine months ended June 30, 2024.</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$13.3 million, principally driven by an 18% increase in listed derivative contract volumes, partially offset by a 10% decrease in the average rate per contract. The decline in the average rate per contract was primarily related to activity in LME base metals markets as compared to the prior year, as the prior year benefited from a widening of spreads related to U.S. and U.K. imposed sanctions on Russian base metals exports.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OTC transactions declined $7.9 million, principally resulting from an 11% decline in the average rate per contract, which more than offset a 7% increase in OTC derivative contract volumes.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physical transactions increased $54.1 million, principally driven by $21.7 million and $32.2 million increases in operating revenues in our physical agricultural and energy and precious metals businesses, respectively. The increase in physical agricultural and energy operating revenues were primarily driven by strong performance in global cocoa and coffee markets.</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and fee income earned on client balances declined $13.8 million, with a 1% increase in average client equity more than offset by a decline in short term interest rates.</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Interest expense increased $32.2 million, primarily related to heightened interest expense in our precious metals business related to carrying costs on inventory being held in the U.S. to mitigate against possible U.S. government tariffs on imported precious metals.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33% in both the nine months ended June 30, 2025 and 2024.</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Segment income decreased $19.4 million, principally due to a $32.2 million increase in interest expense, primarily related to our precious metals activities, as well as a $9.0 million increase in non-variable direct expenses, which was partially offset by the growth in operating revenues. The increase in non-variable direct expenses was primarily due to a $5.1 million increase in fixed compensation and benefits, a $1.9 million increase in trade systems and market information, a $1.4 million increase in depreciation and amortization and a $0.9 million increase in bad debts, net of recoveries. Segment income for the nine months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ended June 30, 2025 and 2024 include gains of $1.0 million and $6.9 million, respectively, related to proceeds received from class action settlements.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nine months ended June 30, 2025, we calculated an allocation for overhead costs of $29.4 million for the Commercial segment compared to a $26.6 million allocation in the nine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Institutional</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provide institutional clients with a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international and domestic capital markets. These instruments include asset-backed securities (primarily in Argentina) and domestic municipal securities.</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Institutional segment, for the periods indicated.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392.6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350.6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196"/>
        </w:trPr>
        <w:tc>
          <w:tcPr>
            <w:tcW w:w="3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Bad debts (recoveries), net</w:t>
            </w: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loss, net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n/m</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40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w:t>
            </w: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957.1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 contracts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r>
      <w:tr>
        <w:trPr>
          <w:trHeight w:val="21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4%</w:t>
            </w:r>
          </w:p>
        </w:tc>
      </w:tr>
      <w:tr>
        <w:trPr>
          <w:trHeight w:val="196"/>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w:t>
            </w:r>
          </w:p>
        </w:tc>
      </w:tr>
      <w:tr>
        <w:trPr>
          <w:trHeight w:val="221"/>
        </w:trPr>
        <w:tc>
          <w:tcPr>
            <w:tcW w:w="4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1,408.0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r>
      <w:tr>
        <w:trPr>
          <w:trHeight w:val="24"/>
        </w:trPr>
        <w:tc>
          <w:tcPr>
            <w:tcW w:w="4040" w:type="dxa"/>
            <w:vAlign w:val="bottom"/>
            <w:tcBorders>
              <w:top w:val="single" w:sz="8" w:color="CCEEFF"/>
            </w:tcBorders>
          </w:tcPr>
          <w:p>
            <w:pPr>
              <w:spacing w:after="0"/>
              <w:rPr>
                <w:sz w:val="2"/>
                <w:szCs w:val="2"/>
                <w:color w:val="auto"/>
              </w:rPr>
            </w:pPr>
          </w:p>
        </w:tc>
        <w:tc>
          <w:tcPr>
            <w:tcW w:w="260" w:type="dxa"/>
            <w:vAlign w:val="bottom"/>
            <w:tcBorders>
              <w:top w:val="single" w:sz="8" w:color="CCEEFF"/>
              <w:bottom w:val="single" w:sz="8" w:color="auto"/>
            </w:tcBorders>
          </w:tcPr>
          <w:p>
            <w:pPr>
              <w:spacing w:after="0"/>
              <w:rPr>
                <w:sz w:val="2"/>
                <w:szCs w:val="2"/>
                <w:color w:val="auto"/>
              </w:rPr>
            </w:pPr>
          </w:p>
        </w:tc>
        <w:tc>
          <w:tcPr>
            <w:tcW w:w="8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c>
          <w:tcPr>
            <w:tcW w:w="24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6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135,969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127,595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r>
      <w:tr>
        <w:trPr>
          <w:trHeight w:val="21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4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4,874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4,352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ADV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r>
      <w:tr>
        <w:trPr>
          <w:trHeight w:val="203"/>
        </w:trPr>
        <w:tc>
          <w:tcPr>
            <w:tcW w:w="404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Securities RPM </w:t>
            </w:r>
            <w:r>
              <w:rPr>
                <w:rFonts w:ascii="Times New Roman" w:cs="Times New Roman" w:eastAsia="Times New Roman" w:hAnsi="Times New Roman"/>
                <w:sz w:val="18"/>
                <w:szCs w:val="18"/>
                <w:color w:val="auto"/>
                <w:vertAlign w:val="superscript"/>
              </w:rPr>
              <w:t>(2)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w:t>
            </w:r>
          </w:p>
        </w:tc>
      </w:tr>
      <w:tr>
        <w:trPr>
          <w:trHeight w:val="20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money market / FDIC sweep client balances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4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FX contracts ADV (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contracts RPM</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r>
    </w:tbl>
    <w:p>
      <w:pPr>
        <w:spacing w:after="0" w:line="69" w:lineRule="exact"/>
        <w:rPr>
          <w:sz w:val="20"/>
          <w:szCs w:val="20"/>
          <w:color w:val="auto"/>
        </w:rPr>
      </w:pPr>
    </w:p>
    <w:p>
      <w:pPr>
        <w:ind w:left="440" w:hanging="414"/>
        <w:spacing w:after="0"/>
        <w:tabs>
          <w:tab w:leader="none" w:pos="4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Give-up fee revenues, related to contract execution for clients of other FCMs, are excluded from the calculation of listed derivatives, average rate per contract.</w:t>
      </w:r>
    </w:p>
    <w:p>
      <w:pPr>
        <w:spacing w:after="0" w:line="30" w:lineRule="exact"/>
        <w:rPr>
          <w:rFonts w:ascii="Times New Roman" w:cs="Times New Roman" w:eastAsia="Times New Roman" w:hAnsi="Times New Roman"/>
          <w:sz w:val="19"/>
          <w:szCs w:val="19"/>
          <w:color w:val="auto"/>
          <w:vertAlign w:val="superscript"/>
        </w:rPr>
      </w:pPr>
    </w:p>
    <w:p>
      <w:pPr>
        <w:ind w:left="440" w:right="200" w:hanging="414"/>
        <w:spacing w:after="0" w:line="202" w:lineRule="auto"/>
        <w:tabs>
          <w:tab w:leader="none" w:pos="4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expense associated with our fixed income activities is deducted from operating revenues in the calculation of Securities RPM, while interest income related to securities lending is excluded.</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revenues increased $117.1 million, or 23%, to $626.0 million in the three months ended June 30, 2025 compared to $508.9 million in the three months ended June 30, 2024. Net operating revenues increased $42.4 million, or 27%, to $200.1 million in the three months ended June 30, 2025 compared to $157.7 million in the three months ended June 30, 2024.</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$1.8 million compared to the prior year quarter, principally due to a 4% increase in contract volumes, despite a modest decrease in the average RPC.</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$107.5 million, principally driven by 25% and 15% increases in the ADV of securities traded and securities RPM, respectively, primarily as a result of increased client activity in both equity and debt capital markets.</w:t>
      </w:r>
    </w:p>
    <w:p>
      <w:pPr>
        <w:spacing w:after="0" w:line="54"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derivative and correspondent clearing businesses decreased $3.1 million, principally driven by a decline in short term interest rates, which was partially offset by 15% and 25% increases in average client equity and average money market / FDIC sweep client balances, respectively.</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Primarily as a result of the increase in securities ADV, interest expense increased $65.3 million, with interest expense directly associated with serving as an institutional dealer in fixed income securities increasing $66.4 million, to $295.5 million and interest expense directly attributable to securities lending activities increasing $8.4 million, to $25.0 million. Partially offsetting these increases, interest from short-term financing facilities and other counterparties decreased $7.3 million and interest paid to clients decreased $2.2 million to $23.8 million.</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22% in the three months ended June 30, 2025 compared to 23% in the three months ended June 30, 2024.</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Segment income increased $25.2 million, principally due to the increase in net operating revenues noted above, which was partially offset by a $10.8 million increase in variable direct compensation and benefits as well as a $4.1 million increase in non-variable direct expenses. The increase in segment income was partially offset by a $2.3 million loss on the disposal of certain capitalized hardware expenditures.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we calculated an allocation for overhead costs of $14.9 million for the Institutional segment compared to a $13.1 million allocation in the three months ended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2025 Compared to Nine Months Ended June 30, 2024</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revenues increased $318.8 million, or 23%, to $1,726.8 million in the nine months ended June 30, 2025 compared to $1,408.0 million in the nine months ended June 30, 2024. Net operating revenues increased $109.0 million, or 24%, to $565.1 million in the nine months ended June 30, 2025 compared to $456.1 million in the nine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derived from listed derivatives increased modestly compared with the prior year.</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$271.3 million, principally driven by a 28% increase in the ADV of securities traded, primarily as a result of increased client activity in both equity and fixed income markets, as well as a 3% increase in securities RPM.</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 contracts increased $0.6 million, principally driven by an 11% increase in the average rate per contract, which was partially offset by a 17% decline in the ADV of FX contracts traded.</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Finally, interest and fee income earned on client balances, which is associated with our listed derivative business, as well as our correspondent clearing businesses, increased $7.7 million, principally driven by increases of 12% and 20% in average client equity and average money market / FDIC sweep client balances, respectively, which was partially offset by a decline in short term interest rates.</w:t>
      </w:r>
    </w:p>
    <w:p>
      <w:pPr>
        <w:spacing w:after="0" w:line="68"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Primarily as a result of the increase in Securities ADV, interest expense increased $179.6 million, with interest expense directly associated with serving as an institutional dealer in fixed income securities increasing $152.5 million, to $751.7 million and interest expense directly attributable to securities lending activities increasing $23.2 million to $68.4 million. Partially offsetting these increases, interest paid to clients decreased $9.8 million to $75.0 million.</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declined to 23% in the nine months ended June 30, 2025 compared to 24% in the nine months ended June 30, 2024.</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Segment income increased $63.3 million, principally driven by the increase in net operating revenues noted above, which was partially offset by a $10.9 million increase in non-variable direct expenses. The increase in non-variable direct expenses was primarily related to a $5.6 million increase in fixed compensation and benefits, a $1.5 million increase in trade systems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9" w:name="page50"/>
    <w:bookmarkEnd w:id="49"/>
    <w:p>
      <w:pPr>
        <w:spacing w:after="0" w:line="261" w:lineRule="auto"/>
        <w:rPr>
          <w:sz w:val="20"/>
          <w:szCs w:val="20"/>
          <w:color w:val="auto"/>
        </w:rPr>
      </w:pPr>
      <w:r>
        <w:rPr>
          <w:rFonts w:ascii="Times New Roman" w:cs="Times New Roman" w:eastAsia="Times New Roman" w:hAnsi="Times New Roman"/>
          <w:sz w:val="18"/>
          <w:szCs w:val="18"/>
          <w:color w:val="auto"/>
        </w:rPr>
        <w:t>market information, a $1.7 million unfavorable variance in bad debts, net of recoveries, a $0.6 million increase in travel and business development and a $0.5 million increase in non-trading technology and support. These increases were partially offset by a $2.9 million decrease in professional fees. Segment income in the nine months ended June 30, 2025 included a $2.3 million loss on the disposal of certain capitalized hardware expenditures, partially offset by a gain of $1.3 million related to proceeds received from class action settlements.</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June 30, 2025, we calculated an allocation for overhead costs of $44.8 million for the Institutional segment compared to a $39.2 million allocation in the nine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Self-Directed/Retail</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provide our Self-Directed/Retail clients around the world access to over 18,000 global financial markets, including spot foreign exchange ("forex"), both financial trading and physical investment in precious metals, as well as contracts for difference (“CFDs”), which are investment products with returns linked to the performance of underlying assets. In addition, our independent wealth management business offers a comprehensive product suite to retail investors in the U.S.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Self-Directed/Retail segment, for the periods indicated.</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11%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290.7</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3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w:t>
            </w:r>
          </w:p>
        </w:tc>
        <w:tc>
          <w:tcPr>
            <w:tcW w:w="0" w:type="dxa"/>
            <w:vAlign w:val="bottom"/>
          </w:tcPr>
          <w:p>
            <w:pPr>
              <w:spacing w:after="0"/>
              <w:rPr>
                <w:sz w:val="1"/>
                <w:szCs w:val="1"/>
                <w:color w:val="auto"/>
              </w:rPr>
            </w:pPr>
          </w:p>
        </w:tc>
      </w:tr>
      <w:tr>
        <w:trPr>
          <w:trHeight w:val="196"/>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gain</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21"/>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400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6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50%</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56%</w:t>
            </w:r>
          </w:p>
        </w:tc>
      </w:tr>
      <w:tr>
        <w:trPr>
          <w:trHeight w:val="221"/>
        </w:trPr>
        <w:tc>
          <w:tcPr>
            <w:tcW w:w="40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290.7</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5"/>
        </w:trPr>
        <w:tc>
          <w:tcPr>
            <w:tcW w:w="40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9,277</w:t>
            </w:r>
          </w:p>
        </w:tc>
        <w:tc>
          <w:tcPr>
            <w:tcW w:w="10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5"/>
              </w:rPr>
              <w:t>6,904</w:t>
            </w: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8,485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6,746</w:t>
            </w:r>
          </w:p>
        </w:tc>
        <w:tc>
          <w:tcPr>
            <w:tcW w:w="100" w:type="dxa"/>
            <w:vAlign w:val="bottom"/>
          </w:tcPr>
          <w:p>
            <w:pPr>
              <w:spacing w:after="0"/>
              <w:rPr>
                <w:sz w:val="16"/>
                <w:szCs w:val="16"/>
                <w:color w:val="auto"/>
              </w:rPr>
            </w:pP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26%</w:t>
            </w: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 RPM</w:t>
            </w:r>
          </w:p>
        </w:tc>
        <w:tc>
          <w:tcPr>
            <w:tcW w:w="68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(11)%</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revenues increased $18.0 million, or 19%, to $114.2 million in the three months ended June 30, 2025 compared to $96.2 million in the three months ended June 30, 2024. Net operating revenues increased $12.1 million, or 18%, to $80.6 million in the three months ended June 30, 2025 compared to $68.5 million in the three months ended June 30, 2024.</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FX/CFD contracts increased $12.2 million, principally due to a 34% increase in ADV, which was partially offset by a 13% decrease in RPM.</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51" w:name="page52"/>
    <w:bookmarkEnd w:id="51"/>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which relate to our independent wealth management activities, increased $4.2 million, principally due to increased management fees, while operating revenues derived from physical contracts increased $1.5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fee income earned on client balances were relatively flat with the prior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as a percentage of operating revenues were 31% in both the three months ended June 30, 2025 and 2024.</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Segment income increased $13.6 million, principally due to the increase in net operating revenues noted above, as well as a $2.7 million decrease in non-variable expenses. The decrease in non-variable direct expenses was primarily a result of a $3.4 million decline in fixed compensation and benefits and a $0.6 million decrease in selling and marketing. These decreases were partially offset by a $1.3 million increase in professional fees and a $0.3 million increase in depreciation and amortization.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we calculated an allocation for overhead costs of $12.7 million for the Self-Directed/Retail segment compared to an $11.9 million allocation in the three months ended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2025 Compared to Nine Months Ended June 30, 2024</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revenues increased $41.0 million, or 14%, to $331.7 million in the nine months ended June 30, 2025 compared to $290.7 million in the nine months ended June 30, 2024. Net operating revenues increased $29.4 million, or 14%, to $239.2 million in the nine months ended June 30, 2025 compared to $209.8 million in the nine months ended June 30, 2024.</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FX/CFD contracts increased $24.9 million, principally due to a 26% increase in FX/CFD contracts ADV, which was partially offset by an 11% decline in FX/CFD contracts RPM.</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Operating revenues derived from securities transactions, which are related to our independent wealth management activities, increased $12.0 million, principally due to increased management fees. Operating revenues derived from physical contracts increased $2.4 million, as revenues were favorably impacted by realized gains of $1.2 million in the nine months ended June 30, 2025 on the sale of physical inventories carried at the lower of cost or net realizable value, for which losses on related derivative positions were recognized in prior periods. Operating revenues derived from physical contracts were unfavorably impacted by unrealized losses on derivative positions of $0.6 million in the nine months ended June 30, 2024 related to physical inventories held at the lower of cost or net realizable value.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fee income earned on client balances were relatively flat with the prior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as a percentage of operating revenues were 30% in both the nine months ended June 30, 2025 and 2024.</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Segment income increased $30.6 million, principally due to the increase in net operating revenues noted above, which was partially offset by a $3.2 million increase in non-variable direct expenses. The increase in non-variable direct expenses was partially driven by a $4.7 million increase in depreciation and amortization, a $0.9 million increase in bad debts, net of recoveries, and a $2.0 million increase in professional fees. These increases were partially offset by a $6.7 million decline in fixed compensation and benefits. Segment income was favorably impacted by a class action settlements received of $4.4 million and $1.8 million in the nine months ended June 30, 2025 and 2024, respectively.</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nine months ended June 30, 2025, we calculated an allocation for overhead costs of $38.0 million for the Self-Directed/Retail segment compared to a $35.4 million allocation in the nine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provide customized foreign exchange and treasury services to banks and commercial businesses, charities, non-governmental organizations, as well as governmental organizations. We provide transparent pricing and offer payments services in more than 180 countries and 140 currencies, which we believe is more than any other payments solutions provider.</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Payments segment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316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vMerge w:val="continue"/>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account fees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195"/>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4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w:t>
            </w:r>
          </w:p>
        </w:tc>
        <w:tc>
          <w:tcPr>
            <w:tcW w:w="3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6%</w:t>
            </w:r>
          </w:p>
        </w:tc>
      </w:tr>
      <w:tr>
        <w:trPr>
          <w:trHeight w:val="196"/>
        </w:trPr>
        <w:tc>
          <w:tcPr>
            <w:tcW w:w="4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161.0</w:t>
            </w:r>
          </w:p>
        </w:tc>
        <w:tc>
          <w:tcPr>
            <w:tcW w:w="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8"/>
        </w:trPr>
        <w:tc>
          <w:tcPr>
            <w:tcW w:w="4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Payments ADV (millions)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188"/>
        </w:trPr>
        <w:tc>
          <w:tcPr>
            <w:tcW w:w="41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RPM</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10,515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12,053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revenues increased $2.2 million, or 4%, to $53.3 million in the three months ended June 30, 2025 compared to $51.1 million in the three months ended June 30, 2024. Net operating revenues increased $1.5 million, or 3%, to $50.2 million in the three months ended June 30, 2025 compared to $48.7 million in the three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revenues was principally due to a 16% increase in ADV, which was partially offset by a 6% decline in the RPM traded.</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23% in the three months ended June 30, 2025 compared to 22% in the three months ended June 30, 2024, principally driven by a decline in variable compensation and benefits.</w:t>
      </w:r>
    </w:p>
    <w:p>
      <w:pPr>
        <w:spacing w:after="0" w:line="10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Segment income decreased $0.1 million, as the increase in operating revenues noted above, were more than offset by an increase in transaction-based clearing expenses and introducing broker commissions, as well as a $0.3 million increase in variable compensation and a $1.3 million increase in non-variable direct expenses.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3" w:name="page54"/>
    <w:bookmarkEnd w:id="53"/>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we calculated an allocation for overhead costs of $5.6 million for the Payments segment compared to a $5.3 million allocation in the three months ended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2025 Compared to Nine Months Ended June 30, 2024</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revenues increased $0.7 million, to $161.7 million in the nine months ended June 30, 2025 compared to $161.0 million in the nine months ended June 30, 2024. Net operating revenues decreased $0.5 million, or 0%, to $153.2 million in the nine months ended June 30, 2025 compared to $153.7 million in the nine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revenues was principally driven by a 17% increase in the ADV, which was partially offset by a 13% decline in RPM traded.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22% in both the nine months ended June 30, 2025 and 2024.</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Segment income decreased $1.1 million, as the increase in operating revenues noted above, was more than offset by a $2.5 million increase in non-variable expenses, including a $1.9 million increase in professional fees.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nine months ended June 30, 2025, we calculated an allocation for overhead costs of $16.9 million for the Payments segment compared to a $15.6 million allocation in the nine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Overhead Costs and Expenses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incur overhead costs and expenses, including certain shared services such as information technology, accounting and treasury, credit and risk, legal and compliance, and human resources and other activities. The following table provides information regarding our overhead costs and expenses.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table provides information regarding the allocation of a portion of these costs to the aforementioned operating segments.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2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and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and expense, net of allocation to operating segments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2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Compared to Three Months Ended June 30, 2024</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non-variable compensation was partially related to a reorganization of certain IT personnel, including the move of certain development teams out of discrete business lines and into centralized shared services, resulting in increased compensation expense in overhead, and lower compensation expense in the discrete business lines, which were partially offset with non-variable charges to the business lines based on use of IT resources. Additionally, the increase in non-variable compensation was partially a result of hiring among our support departments, principally due to company growth. Average administrative headcount increased 25%.</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increased $2.7 million, principally due to higher non-trading software maintenance and support costs related to various IT systems technologies, driven by increased headcount.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increased $3.1 million, principally due to corporate merger and acquisition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costs increased $1.5 million, principally due to an increase in corporate branding initiatives.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Other is principally due to the increase in cost offset from the centralized shared services movement discussed above.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June 30, 2025 Compared to Nine Months Ended June 30, 2024</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non-variable compensation was partially related to a reorganization of our IT personnel, including the move of certain development teams out of discrete business lines and into centralized shared services, resulting in increased compensation expense in overhead, and lower compensation expense in the discrete business lines, which were partially offset with non-variable charges to the business lines based on use of IT resources. Additionally, the increase in non-variable compensation was impacted by an increase in headcount, as well as the impact of annual merit increases. Share-based compensation expense increased principally due to the issuance of additional stock option awards during December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5" w:name="page56"/>
    <w:bookmarkEnd w:id="55"/>
    <w:p>
      <w:pPr>
        <w:ind w:right="320"/>
        <w:spacing w:after="0" w:line="312" w:lineRule="auto"/>
        <w:rPr>
          <w:sz w:val="20"/>
          <w:szCs w:val="20"/>
          <w:color w:val="auto"/>
        </w:rPr>
      </w:pPr>
      <w:r>
        <w:rPr>
          <w:rFonts w:ascii="Times New Roman" w:cs="Times New Roman" w:eastAsia="Times New Roman" w:hAnsi="Times New Roman"/>
          <w:sz w:val="17"/>
          <w:szCs w:val="17"/>
          <w:color w:val="auto"/>
        </w:rPr>
        <w:t>Fixed compensation and benefits for the nine months ended June 30, 2025 and 2024 included, in aggregate, $6.6 million and $4.5 million, respectively, related to severance, accelerated long-term incentive and accelerated share-based compensation due to the departure of two executive officers.</w:t>
      </w:r>
    </w:p>
    <w:p>
      <w:pPr>
        <w:spacing w:after="0" w:line="32"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Occupancy and equipment rental increased $3.4 million, principally due to the prior year including a partial refund of property rates covering prior year in London, as well as higher utility costs.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increased $7.5 million, principally due to higher non-trading software maintenance and support costs related to various IT systems technologies, driven by increased headcount.</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Selling and marketing costs decreased $0.9 million, principally due to costs related to our global sales summit, held in February 2024, which occurs on a once-every-two years rotation.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Travel and business development increased $1.2 million, principally due to higher transportation and lodging costs. This increase is also partially related to the reorganization of certain IT personnel discussed above.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Other is principally due to the increase in cost offset by the centralized shared services movement discussed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Financial Condition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Liquidity is our ability to generate sufficient funding to meet all of our cash needs. Senior management establishes liquidity and capital policies, which we monitor and review for funding from both internal and external sources. We evaluate how effectively our policies support our business operations, issuing debt and equity securities, and accessing committed credit facilities. Liquidity and capital matters are reported regularly to our Board of Directors.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w:t>
      </w:r>
    </w:p>
    <w:p>
      <w:pPr>
        <w:spacing w:after="0" w:line="10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StoneX Financial Inc. is registered as a broker-dealer with the Securities and Exchange Commission (“SEC”) and is a member of both the Financial Industry Regulatory Authority (“FINRA”) and the Municipal Securities Rulemaking Board (“MSRB”). In addition, StoneX Financial Inc. is registered as a futures commission merchant with the Commodity Futures Trading Commission (“CFTC”) and National Futures Association (“NFA”), and a member of various commodities and futures exchanges in the U.S. and abroad. StoneX Financial Inc. has a responsibility to meet margin calls at all exchanges on a daily basis, and even on an intra-day basis, if deemed necessary by relevant regulators or exchanges. We require our clients to make margin deposits the next business day, and we require our largest clients to make intra-day margin payments during periods of significant price movement. Margin required to be posted to the exchanges is a function of our clients’ net open positions and required margin per contract. StoneX Financial Inc. is subject to minimum capital requirements under Section 4(f)(b) of the Commodity Exchange Act, Part 1.17 of the rules and regulations of the CFTC and the SEC Uniform Net Capital Rule 15c3-1 under the Securities Exchange Act of 1934, as amended (the “Exchange Act”). StoneX Financial Inc. is also subject to Rule 15c3-3 of the Exchange Act (“Customer Protection Rule”).</w:t>
      </w:r>
    </w:p>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Gain Capital Group, LLC is registered as both a futures commission merchant and registered foreign exchange dealer, subject to minimum capital requirements under Section 4(f)(b) of the Commodity Exchange Act, Part 1.17 of the rules and regulations of the CFTC and NFA Financial Requirements, Sections 1 and 11.</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StoneX Markets LLC is a CFTC registered swap dealer, whose business is overseen by the NFA. The CFTC imposes rules over net capital requirements, as well as the exchange of initial margin between registered swap dealers and certain counterparties.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rules specify the minimum amount of capital that must be available to support our clients’ account balances and open trading positions, including the amount of assets that StoneX Financial Inc., Gain Capital Group, LLC and StoneX Markets LLC must maintain in relatively liquid form. Further, the rules are designed to maintain general financial integrity and liquidity.</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StoneX Financial Ltd is regulated by the Financial Conduct Authority (“FCA”), the regulator of investment and payment firms in the U.K. as a MiFID investment firm under U.K. law, and is subject to regulations which impose regulatory capital requirements. In Europe, our regulated subsidiaries are subject to E.U. regulation. Across the U.K. and E.U., the respective transpositions of the Market Abuse Regulation, and the General Data Protection Regulation, also apply. StoneX Financial Ltd is a member of various commodities, futures, and securities exchanges in the U.K. and Europe and has the responsibility to meet margin calls at all exchanges on a daily basis and intra-day basis, as necessary. StoneX Financial Ltd is required to be compliant with the U.K.’s regulation for capital and liquidity, and CASS regulation for client money and safeguarding. To comply with these liquidity regulations, we have implemented daily liquidity procedures, conduct periodic reviews of liquidity by stressed scenarios, and are required to maintain enough liquidity for the firm to survive for one year under the appropriate stressed conditions.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6" w:name="page57"/>
    <w:bookmarkEnd w:id="56"/>
    <w:p>
      <w:pPr>
        <w:ind w:right="80"/>
        <w:spacing w:after="0" w:line="255" w:lineRule="auto"/>
        <w:rPr>
          <w:sz w:val="20"/>
          <w:szCs w:val="20"/>
          <w:color w:val="auto"/>
        </w:rPr>
      </w:pPr>
      <w:r>
        <w:rPr>
          <w:rFonts w:ascii="Times New Roman" w:cs="Times New Roman" w:eastAsia="Times New Roman" w:hAnsi="Times New Roman"/>
          <w:sz w:val="18"/>
          <w:szCs w:val="18"/>
          <w:color w:val="auto"/>
        </w:rPr>
        <w:t>StoneX Financial Pte. Ltd. is regulated by the Monetary Authority of Singapore (“MAS”) and operates as an approved holder of a Capital Market Services and a Payments Service License. StoneX Financial Pte. Ltd. is subject to the requirements of MAS pursuant to the Securities and Futures Act and the Payments Services Act 2019. The regulations include those that govern the treatment of client money and other assets which under certain circumstances must be segregated from the firm’s own assets.</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regulations discussed above limit funds available for dividends to us. As a result, we may be unable to access our operating subsidiaries’ funds when we need them.</w:t>
      </w:r>
    </w:p>
    <w:p>
      <w:pPr>
        <w:spacing w:after="0" w:line="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regulations discussed above limit funds available for dividends to us. As a result, we may be unable to access our operating subsidiaries’ funds when we need them.</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our physical commodities trading, commercial hedging OTC, securities and foreign exchange trading activities, we may be required to meet margin calls with various counterparties based upon the underlying open transactions we have in place with those counterparties.</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review our overall credit and capital needs to determine whether our capital base, both stockholders’ equity and debt, as well as available credit facilities, can appropriately support the anticipated financing needs of our operating subsidiaries.</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June 30, 2025, we had total equity of $1,978.8 million, outstanding loans under revolving credit facilities and other payables to lenders of $352.7 million, and $543.9 million outstanding on our senior secured notes, net of deferred financing costs.</w:t>
      </w:r>
    </w:p>
    <w:p>
      <w:pPr>
        <w:spacing w:after="0" w:line="5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 substantial portion of our assets are liquid. As of June 30, 2025, approximately 97% of our assets consisted of cash and cash equivalents; securities purchased under agreements to resell; securities borrowed; deposits with and receivables from broker-dealers, clearing organizations and counterparties; receivables from clients; financial instruments owned, at fair value; and physical commodities inventory. All assets that are not client and counterparty deposit financed are financed by our equity capital, bank loans, short-term borrowings from financial instruments sold, not yet purchased and under repurchase agreements, securities loaned and other payables.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 and Counterparty Credit and Liquidity Risk</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operations expose us to credit risk of default of our clients and counterparties. The risk includes liquidity risk to the extent our clients or counterparties are unable to make timely payment of margin or other credit support. We are indirectly exposed to the financing and liquidity risks of our clients and counterparties, including the risks that our clients and counterparties may not be able to finance their operations.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clearing broker, we act on behalf of our clients for all trades consummated on exchanges. We must pay initial and variation margin to the exchanges, on a net basis, before we receive the required payments from our clients. Accordingly, we are responsible for our clients’ obligations with respect to these transactions, which exposes us to significant credit risk. Our clients are required to make any margin deposits the next business day, and we require our largest clients to make intra-day margin payments during periods of significant price movement. Our clients are obligated to maintain initial margin requirements at the level set by the respective exchanges, but we have the ability to increase margin requirements for clients based on their open positions, trading activity, or market conditions.</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it relates to OTC derivative transactions, we act as a principal, which exposes us to the credit risk of both our clients and the counterparties with which we offset our client positions. As with exchange-traded transactions, our OTC transactions require that we meet initial and variation margin payments on behalf of our clients before we receive related required payments from our clients. OTC clients are required to post sufficient collateral to meet margin requirements based on value-at-risk models, as well as variation margin requirements based on the price movement of the commodity or security in which they transact. Our clients are required to make any margin deposits the next business day, and we may require our largest clients to make intra-day margin payments during periods of significant price movement. In this business as well, we have the ability to increase the margin requirements for clients based on their open positions, trading activity, or market conditions. On a limited basis, we provide credit thresholds to certain clients, based on internal evaluations and monitoring of client creditworthiness.</w:t>
      </w:r>
    </w:p>
    <w:p>
      <w:pPr>
        <w:spacing w:after="0" w:line="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with OTC transactions, we are at risk that a counterparty will fail to meet its obligations to us when due. We would then be exposed to the risk that the settlement of a transaction which is due from a client will not be collected from the respective counterparty with which the transaction was offset. We monitor the credit quality of our respective counterparties and mark our positions held with each counterparty to market on a daily basis.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enter into securities purchased under agreements to resell, securities sold under agreements to repurchase, securities borrowed and securities loaned transactions to, among other things, finance financial instruments, acquire securities to cover short positions, acquire securities for settlement, and to accommodate counterparties’ needs. In connection with these agreements and transactions, it is our policy to receive or pledge cash or securities to adequately collateralize such agreements and transactions in accordance with general industry guidelines and practices. The collateral is valued daily and we may require counterparties to deposit additional collateral or return collateral pledged, when appropriate.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Primary Sources and Uses of Cash</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client cash and securities held for clients are held at banks, deposits at liquidity providers, investments in money market funds that invest in highly liquid investment grade securities including U.S. treasury bills, as well as investments in U.S. treasury bills. In general, we believe all of our investments and deposits are of high credit quality and we have more than adequate liquidity to conduct our businesses.</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assets and liabilities may vary significantly from period to period due to changing client requirements, economic and market conditions, and our growth. Our total assets as of June 30, 2025 and September 30, 2024, were $34,265.6 million and $27,466.3 million, respectively. Our operating activities generate or utilize cash as a result of net income or loss earned or incurred during each period and fluctuations in our assets and liabilities. The most significant fluctuations arise from changes in the level of client activity, commodities prices, and changes in the balances of financial instruments and commodities inventory. StoneX Financial Inc. and StoneX Financial Ltd occasionally utilize their margin line credit facilities, on a short-term basis, to meet intraday settlements with the commodity exchanges prior to collecting margin funds from their clients.</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majority of the assets of StoneX Financial Inc., StoneX Financial Ltd, StoneX Financial Pte. Ltd, StoneX Markets LLC, and Gain Capital Group, LLC are restricted from being transferred to us or other affiliates due to specific regulatory requirements. This restriction has no current impact on our ability to meet our cash obligations, and no such impact is expected in the future.</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liquidity and funding policies and processes in place that are intended to maintain sufficient flexibility to address both company-specific and industry liquidity needs. The majority of our excess funds is held with high-quality institutions, under highly-liquid reverse repurchase agreements, U.S. government obligations, interest earning cash deposits and AA-rated money market investments.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do not intend to distribute earnings of our foreign subsidiaries in a taxable manner, and therefore intend to limit distributions to earnings previously taxed in the U.S., or earnings that would qualify for the 100 percent dividends received deduction, and earnings that would not result in any significant foreign taxes. We repatriated $58.5 million and $80.0 million for the nine months ended June 30, 2025 and 2024, respectively, of earnings previously taxed in the U.S., resulting in no significant incremental taxes. Therefore, the Company has not recognized a deferred tax liability on its investment in foreign subsidiaries.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 2024, we issued $550 million in aggregate principal amount of the Notes due 2031, which are fully and unconditionally guaranteed, jointly and severally, on a senior secured second lien basis, by certain subsidiaries of the Company that guarantee the Company’s senior committed credit facility and certain of its domestic subsidiaries. The Notes due 2031 will mature on March 1, 2031. Interest on the Notes due 2031 accrues at a rate of 7.875% per annum and is payable semiannually in arrears on September 1 and March 1 of each year. We incurred debt issuance costs of $7.6 million in connection with the issuance of the Notes due 2031, which are being amortized over the term of the notes.</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July 8, 2025, we issued $625 million in aggregate principal amount of the Notes due 2032, which are fully and unconditionally guaranteed, jointly and severally, on a senior secured second lien basis, by certain subsidiaries of the Company that guarantee the Company’s senior committed credit facility and certain of its domestic subsidiaries. The Notes due 2032 will mature on July 15, 2032. Interest on the Notes due 2032 accrues at a rate of 6.875% per annum and is payable semiannually in arrears on January 15 and July 15 of each year, commencing on January 15, 2026. On July 31, 2025, the net proceeds from the issuance of the Notes due 2032 were used to fund the cash portion of the purchase price of the RJO acquisition and to pay related fees and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Credit Facilities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2025, we had five committed bank credit facilities, totaling $1,355.0 million, of which $232.0 million was outstanding. Additional information regarding the committed bank credit facilities can be found in Note 9 of the Condensed Consolidated Financial Statements. The credit facilities include:</w:t>
      </w:r>
    </w:p>
    <w:p>
      <w:pPr>
        <w:spacing w:after="0" w:line="68" w:lineRule="exact"/>
        <w:rPr>
          <w:sz w:val="20"/>
          <w:szCs w:val="20"/>
          <w:color w:val="auto"/>
        </w:rPr>
      </w:pPr>
    </w:p>
    <w:p>
      <w:pPr>
        <w:ind w:left="660" w:right="20" w:hanging="328"/>
        <w:spacing w:after="0" w:line="282" w:lineRule="auto"/>
        <w:tabs>
          <w:tab w:leader="none" w:pos="64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first-lien senior secured syndicated loan facility committed until June 3, 2028, under which $650.0 million is available to us for general working capital requirements and capital expenditures.</w:t>
      </w:r>
    </w:p>
    <w:p>
      <w:pPr>
        <w:spacing w:after="0" w:line="53" w:lineRule="exact"/>
        <w:rPr>
          <w:rFonts w:ascii="Times New Roman" w:cs="Times New Roman" w:eastAsia="Times New Roman" w:hAnsi="Times New Roman"/>
          <w:sz w:val="16"/>
          <w:szCs w:val="16"/>
          <w:color w:val="auto"/>
        </w:rPr>
      </w:pPr>
    </w:p>
    <w:p>
      <w:pPr>
        <w:ind w:left="660" w:right="2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line of credit committed until October 28, 2025, under which $250.0 million is available to our wholly owned subsidiary, StoneX Financial Inc. to provide short-term funding.</w:t>
      </w:r>
    </w:p>
    <w:p>
      <w:pPr>
        <w:spacing w:after="0" w:line="5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syndicated borrowing facility committed until July 29, 2026, under which $325.0 million is available to our wholly owned subsidiary, StoneX Commodity Solutions LLC (“StoneX Commodity Solutions”), to facilitate physical commodity trade and provide marketing, procurement, logistics and price management services to clients across the commodity complex.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58" w:name="page59"/>
    <w:bookmarkEnd w:id="58"/>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syndicated loan facility committed until October 9, 2025, under which our subsidiary, StoneX Financial Ltd is entitled to borrow up to $115.0 million, subject to certain terms and conditions of the credit agreement. This facility is intended to provide short-term funding.</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revolving credit facility committed until September 5, 2025, under which $15.0 million is available to our wholly owned subsidiary, StoneX Financial Pte. Ltd. for general working capital requirements.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facility agreements contain certain financial covenants relating to financial measures on a consolidated basis, as well as on a stand-alone basis for certain subsidiaries, including minimum tangible net worth, minimum regulatory capital, minimum net unencumbered liquid assets, maximum net loss, minimum fixed charge coverage ratio and maximum funded debt to net worth ratio. Failure to comply with any such covenants could result in the debt becoming payable on demand. As of June 30, 2025, we and our subsidiaries were in compliance with all of our financial covenants under the outstanding facilities.</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required disclosure as part of our first-lien senior secured syndicated loan facility, during the trailing twelve months ended June 30, 2025, interest expense directly attributable to trading activities includes $1,004.9 million in connection with trading activities conducted as an institutional dealer in fixed income securities, and $87.5 million in connection with securities lending activities.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reflected above, certain of our committed credit facilities are scheduled to expire during the next twelve months following the quarterly period ended June 30, 2025. We intend to renew or replace these facilities as they expire, and based on our liquidity position and capital structure, we believe we will be able to do so.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Uncommitted Credit Facilities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access to certain uncommitted financing agreements that support our ordinary course securities and commodities inventories. The agreements are subject to certain borrowing terms and conditions. As of June 30, 2025 and September 30, 2024, the Company had $114.2 million and $104.9 million total borrowings outstanding under these uncommitted credit facilities,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Capital Considerations</w:t>
      </w:r>
    </w:p>
    <w:p>
      <w:pPr>
        <w:spacing w:after="0" w:line="119"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Our activities are subject to various significant governmental regulations and capital adequacy requirements, both in the U.S. and in the international jurisdictions in which we operate. Our subsidiaries are in compliance with all of their capital regulatory requirements as of June 30, 2025. Additional information on our subsidiaries subject to significant net capital and minimum net capital requirements can be found in Note 16 of the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include client cash and securities that meet the short-term requirement for cash classification to be segregated for regulatory purposes in our Condensed Consolidated Statements of Cash Flows. We hold a significant amount of U.S. Treasury obligations, which represent investments of client funds or client-owned investments pledged in lieu of cash margin. U.S. Treasury securities held with third-party banks or pledged with exchange-clearing organizations representing investments of client funds or which are held for particular clients in lieu of cash margin are included in the beginning and ending cash balances reconciled on our Condensed Consolidated Statements of Cash Flows to the extent that they have an original or acquired maturity of 90 days or less and, therefore, meet the definition of a segregated cash equivalent. Purchases and sales of U.S. Treasury securities representing investment of clients’ funds and U.S. Treasury securities pledged or redeemed by particular clients in lieu of cash margin are presented as operating uses and sources of cash, respectively, within the operating section of the Consolidated Statements of Cash Flows if they have an original or acquired maturity of greater than 90 days. Typically, there is an offsetting use or source of cash related to the change in the payables to clients. However, we will report a use of cash in periods where segregated U.S. Treasury securities that meet the aforementioned definition of a segregated cash equivalent mature and are replaced with U.S. Treasury securities that have original or acquired maturities that are greater than 90 days.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cash, segregated cash, cash equivalents, and segregated cash equivalents increased by $800.5 million from $6,672.6 million as of September 30, 2024 to $7,473.1 million as of June 30, 2025. During the nine months ended June 30, 2025, net cash of $858.9 million was provided by operating activities, $58.9 million was used in investing activities and net cash of $3.9 million was used in financing activities.</w:t>
      </w:r>
    </w:p>
    <w:p>
      <w:pPr>
        <w:spacing w:after="0" w:line="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June 30, 2025 included outflows in the period related to deferred payments on acquisitions of $21.1 million and share withholdings of $6.4 million. Inflows in the period related to short term loans, netting $13.9 million, and stock option exercises of $9.7 million.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broker-dealer and related trading industries,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client commodity accounts may occur from day-to-day. A use of cash, as calculated on the consolidated statement of cash flows, includes unrestricted cash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9" w:name="page60"/>
    <w:bookmarkEnd w:id="59"/>
    <w:p>
      <w:pPr>
        <w:ind w:right="100"/>
        <w:spacing w:after="0" w:line="258" w:lineRule="auto"/>
        <w:rPr>
          <w:sz w:val="20"/>
          <w:szCs w:val="20"/>
          <w:color w:val="auto"/>
        </w:rPr>
      </w:pPr>
      <w:r>
        <w:rPr>
          <w:rFonts w:ascii="Times New Roman" w:cs="Times New Roman" w:eastAsia="Times New Roman" w:hAnsi="Times New Roman"/>
          <w:sz w:val="18"/>
          <w:szCs w:val="18"/>
          <w:color w:val="auto"/>
        </w:rPr>
        <w:t>transferred and pledged to the exchanges or guaranty funds. These funds are held in interest-bearing deposit accounts at the exchanges, and based on daily exchange requirements, may be withdrawn and returned to unrestricted cash. Additionally, within our unregulated OTC and foreign exchange operations, cash deposits received from clients are reflected as cash provided from operations. Subsequent transfer of these cash deposits to counterparties or exchanges to margin their open positions will be reflected as an operating use of cash to the extent the transfer occurs in a different period than the cash deposit was received.</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Unrealized gains and losses on open positions revalued at prevailing foreign currency exchange rates are included in trading revenue but have no direct impact on cash flow from operations. Similarly, gains and losses become realized when client transactions are liquidated, although they do not affect cash flow. To some extent, the amount of net deposits made by our clients in any given period is influenced by the impact of gains and losses on our client balances, such that clients may be required to post additional funds to maintain open positions or may choose to withdraw excess funds on open positions.</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evaluate opportunities to expand our business. Investing activities included $44.9 million in capital expenditures for property and equipment during the nine months ended June 30, 2025 compared to $48.5 million during the prior year. Additionally, we expended $13.8 million of net cash on the Company’s acquisitions.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exchange rates increased our cash, segregated cash, cash equivalents and segregated cash equivalents by $4.4 million.</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upon our current operations, we believe that cash flows from operations, available cash and available borrowings under our credit facilities will be adequate to meet our future liquidity needs for the following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commitments and contingent liabilities is contained in Note 11 of the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party to certain financial instruments with off-balance sheet risk in the normal course of business as a registered securities broker-dealer, futures commission merchant, U.K. based investment firm, provisionally registered swap dealer and from our market-making and proprietary trading in the foreign exchange and commodities and debt securities markets. These financial instruments include futures, forward and foreign exchange contracts, exchange-traded and OTC options, To Be Announced (“TBA”) securities and interest rate swaps. Derivative financial instruments involve varying degrees of off-balance sheet market risk whereby changes in the fair values of underlying financial instruments may result in changes in the fair value of the financial instruments in excess of the amounts reflected in the Condensed Consolidated Balance Sheets. Exposure to market risk is influenced by a number of factors, including the relationships between the financial instruments and our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We attempt to manage our exposure to market risk through various techniques. Aggregate market limits have been established and market risk measures are routinely monitored against these limits. 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significant portion of these instruments are primarily the execution of orders for commodity futures and options on futures contracts on behalf of our clients, substantially all of which are transacted on a margin basis. Such transactions may expose us to significant credit risk in the event margin requirements are not sufficient to fully cover losses which clients may incur. We control the risks associated with these transactions by requiring clients to maintain margin deposits in compliance with both clearing organization requirements and internal guidelines. We monitor required margin levels daily and, therefore, may require clients to deposit additional collateral or reduce positions when necessary. We also establish contract limits for clients, which are monitored daily. We evaluate each client’s creditworthiness on a case-by-case basis. Clearing, financing, and settlement activities may require us to maintain funds with or pledge securities as collateral with other financial institutions. Generally, these exposures to exchanges are subject to netting of open positions and collateral, while exposures to clients are subject to netting, per the terms of the client agreements, which reduce the exposure to us by permitting receivables and payables with such clients to be offset in the event of a client default. Management believes that the margin deposits held as of June 30, 2025 are adequate to minimize the risk of material loss that could be created by positions held at that time. Additionally, we monitor collateral fair value on a daily basis and adjust collateral levels in the event of excess market exposure. Generally, these exposures to both counterparties and clients are subject to master netting agreements and the terms of the client agreements, which reduce our exposure.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0" w:name="page61"/>
    <w:bookmarkEnd w:id="60"/>
    <w:p>
      <w:pPr>
        <w:ind w:right="60"/>
        <w:spacing w:after="0" w:line="256" w:lineRule="auto"/>
        <w:rPr>
          <w:sz w:val="20"/>
          <w:szCs w:val="20"/>
          <w:color w:val="auto"/>
        </w:rPr>
      </w:pPr>
      <w:r>
        <w:rPr>
          <w:rFonts w:ascii="Times New Roman" w:cs="Times New Roman" w:eastAsia="Times New Roman" w:hAnsi="Times New Roman"/>
          <w:sz w:val="18"/>
          <w:szCs w:val="18"/>
          <w:color w:val="auto"/>
        </w:rPr>
        <w:t>As a broker-dealer in U.S. Treasury obligations, U.S. government agency obligations, agency mortgage-backed obligations, and asset-backed obligations, we are engaged in various securities trading, borrowing and lending activities serving solely institutional counterparties. Our exposure to credit risk associated with the nonperformance of counterparties in fulfilling their contractual obligations pursuant to these securities transactions and market risk associated with the sale of securities not yet purchased can be directly impacted by volatile trading markets which may impair the counterparties’ ability to satisfy outstanding obligations to us. In the event of non-performance and unfavorable market price movements, we may be required to purchase or sell financial instruments, which may result in a loss to us.</w:t>
      </w:r>
    </w:p>
    <w:p>
      <w:pPr>
        <w:spacing w:after="0" w:line="7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We transact OTC and foreign exchange contracts with our clients, and our OTC and foreign exchange trade desks will generally offset the client’s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client.</w:t>
      </w:r>
    </w:p>
    <w:p>
      <w:pPr>
        <w:spacing w:after="0" w:line="3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Additionally, we hold options and futures on options contracts resulting from market-making and proprietary trading activities in these product lines. We assist clients in our commodities trading business to protect the value of their future production (precious or base metals) by selling them put options on an OTC basis. We also provide our physical commodities trading business clients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As part of the activities discussed above, we carry short positions. We sell financial instruments that we do not own, borrow the financial instruments to make good delivery, and therefore are obliged to purchase such financial instruments at a future date in order to return the borrowed financial instruments. We record these obligations in the condensed consolidated financial statements as of June 30, 2025 and September 30, 2024, at fair value of the related financial instruments, totaling $3,707.7 million and $2,853.3 million, respectively. These positions are held to offset the risks related to financial assets owned, and reported in our Condensed Consolidated Balance Sheets in </w:t>
      </w:r>
      <w:r>
        <w:rPr>
          <w:rFonts w:ascii="Times New Roman" w:cs="Times New Roman" w:eastAsia="Times New Roman" w:hAnsi="Times New Roman"/>
          <w:sz w:val="18"/>
          <w:szCs w:val="18"/>
          <w:i w:val="1"/>
          <w:iCs w:val="1"/>
          <w:color w:val="auto"/>
        </w:rPr>
        <w:t>Financial instruments owned, at fair value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Physical commodities inventory, net</w:t>
      </w:r>
      <w:r>
        <w:rPr>
          <w:rFonts w:ascii="Times New Roman" w:cs="Times New Roman" w:eastAsia="Times New Roman" w:hAnsi="Times New Roman"/>
          <w:sz w:val="18"/>
          <w:szCs w:val="18"/>
          <w:color w:val="auto"/>
        </w:rPr>
        <w:t>. We will incur losses if the fair value of the financial instruments sold, not yet purchased, increases subsequent to June 30, 2025, which might be partially or wholly offset by gains in the value of assets held as of June 30, 2025. The totals of $3,707.7 million and $2,853.3 million include a net liability of $207.7 million and $265.0 million for derivative contracts, including those designated as hedges, based on their fair value as of June 30, 2025 and September 30, 2024, respectively.</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anticipate non-performance by counterparties in the situations described above. We have a policy of reviewing the credit standing of each counterparty with which we conduct business. We have credit guidelines that limit our current and potential credit exposure to any one counterparty. We administer limits, monitor credit exposure, and periodically review the financial soundness of counterparties. We manage the credit exposure relating to our trading activities in various ways, including entering into collateral arrangements and limiting the duration of exposure. Risk is mitigated in certain cases by closing out transactions and entering into risk reducing transactions.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member of various exchanges that trade and clear futures and option contracts. We are also a member of and provide guaranties to securities clearinghouses and exchanges in connection with client trading activities. Associated with our memberships, we may be required to pay a proportionate share of the financial obligations of another member who may default on its obligations to the exchanges. While the rules governing different exchange memberships vary, in general our guaranty obligations would arise only if the exchange had previously exhausted its resources. In addition, any such guaranty obligation would be apportioned among the other non-defaulting members of the exchange.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Condensed Consolidated Balance Sheets as of June 30, 2025 and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Increases in our expenses, such as compensation and benefits, transaction-based clearing expenses, as well as occupancy and equipment rental, may result from inflation and may not be readily recoverable from increasing the prices of our services. While heightened interest rates are generally favorable for us, to the extent that changes in interest rates arise from inflationary pressures, and such inflationary pressures have other adverse effects on the financial markets and on the value of the financial instruments held in inventory, it may adversely affect our financial position and results of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One Big Beautiful Bill Act (“OBBBA”)</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July 4, 2025, the OBBBA was signed into law in the US. This law contains a broad range of tax reform provisions. We are currently evaluating the potential impacts of the OBBBA, but, at this time, we do not expect this law to have a material impact on our financial position or the results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our critical accounting policies discussed in the Management’s Discussion and Analysis of the most recent Annual Report filed on Form 10-K. There have been no material changes to these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Accounting Policies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Note 1 to the Consolidated Financial Statements included within the most recent Annual Report filed on Form 10-K includes our significant accounting policies. There have been no material changes to these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Development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6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(“ASU 2024-03”). The guidance primarily will require enhanced disclosures about certain types of expenses. ASU 2024-03 is effective for the Company’s fiscal year ending September 30, 2027. Early adoption is permitted. The guidance allows for adoption using either a prospective or retrospective transition method. We are currently evaluating the impact that adopting this guidance will have on our disclosures.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ASU 2023-09 is effective for the Company’s fiscal year ending September 30, 2026. Early adoption is permitted. The guidance allows for adoption using either a prospective or retrospective transition method. We are currently evaluating the impact that adopting this guidance will have on our disclosures.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will require us to disclose segment expenses that are significant and regularly provided to to our chief operating decision maker (“CODM”). In addition, ASU 2023-07 will require us to disclose the title and position of our CODM and how the CODM uses segment profit or loss information in assessing segment performance and deciding how to allocate resources. ASU 2023-07 is effective for the Company’s fiscal year ending September 30, 2025 and for interim periods within the fiscal year ending September 30, 2026. Early adoption is permitted, but we have not early adopted. The guidance should be applied retrospectively unless impracticable. We do not believe that ASU 2023-07 will have a material impact on our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0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also Note 4 to the condensed consolidated financial statements, “Financial Instruments with Off-Balance Sheet Risk and Concentrations of Credit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 our market-making and trading activities predominantly as a principal, which subjects our capital to significant risks. These risks include, but are not limited to, absolute and relative price movements, price volatility and changes in liquidity, over which we have virtually no control. Our exposure to market risk varies in accordance with the volume of client-driven market-making transactions, the size of the proprietary positions and the volatility of the financial instruments traded.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mitigate exposure to market risk by utilizing a variety of qualitative and quantitative techniques:</w:t>
      </w:r>
    </w:p>
    <w:p>
      <w:pPr>
        <w:spacing w:after="0" w:line="2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business activities and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capital and limits based on estimated weighted risks;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monitoring of positions and mark-to-market profitability.</w:t>
      </w:r>
    </w:p>
    <w:p>
      <w:pPr>
        <w:spacing w:after="0" w:line="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sectPr>
          <w:pgSz w:w="11900" w:h="16838" w:orient="portrait"/>
          <w:cols w:equalWidth="0" w:num="1">
            <w:col w:w="11220"/>
          </w:cols>
          <w:pgMar w:left="320" w:top="995"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62" w:name="page63"/>
    <w:bookmarkEnd w:id="62"/>
    <w:p>
      <w:pPr>
        <w:spacing w:after="0" w:line="254" w:lineRule="auto"/>
        <w:rPr>
          <w:sz w:val="20"/>
          <w:szCs w:val="20"/>
          <w:color w:val="auto"/>
        </w:rPr>
      </w:pPr>
      <w:r>
        <w:rPr>
          <w:rFonts w:ascii="Times New Roman" w:cs="Times New Roman" w:eastAsia="Times New Roman" w:hAnsi="Times New Roman"/>
          <w:sz w:val="18"/>
          <w:szCs w:val="18"/>
          <w:color w:val="auto"/>
        </w:rPr>
        <w:t>We are exposed to market risk in connection with our self-directed/retail trading activities. Because we act as counterparty to our self-directed/retail clients’ transactions, we are exposed to risk on each trade that the value of our position will decline. Accordingly, accurate and efficient management of our net exposure is a high priority, and we have developed policies addressing both our automated and manual procedures to manage our exposure. These risk-management policies and procedures are established and reviewed regularly by the Risk Committee of our Board of Directors. Our risk-management policies require quantitative analyses by instrument, as well as assessment of a range of market inputs, including trade size, dealing rate, client margin and market liquidity. Our risk-management procedures require our team of senior traders to monitor risk exposure and update senior management both informally over the course of the trading day and formally through intraday and end of day reporting. A key component of our approach to managing market risk is that we do not initiate market positions for our own account in anticipation of future movements in the relative prices of products we offer.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3" w:name="page64"/>
    <w:bookmarkEnd w:id="63"/>
    <w:p>
      <w:pPr>
        <w:ind w:right="900"/>
        <w:spacing w:after="0" w:line="282" w:lineRule="auto"/>
        <w:rPr>
          <w:sz w:val="20"/>
          <w:szCs w:val="20"/>
          <w:color w:val="auto"/>
        </w:rPr>
      </w:pPr>
      <w:r>
        <w:rPr>
          <w:rFonts w:ascii="Times New Roman" w:cs="Times New Roman" w:eastAsia="Times New Roman" w:hAnsi="Times New Roman"/>
          <w:sz w:val="18"/>
          <w:szCs w:val="18"/>
          <w:color w:val="auto"/>
        </w:rPr>
        <w:t>Management believes that the volatility of revenues is a key indicator of the effectiveness of our risk management techniques. The graph below summarizes volatility of our daily revenue, determined on a marked-to-market basis, during the nine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863590" cy="4397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The graph above includes</w:t>
      </w:r>
    </w:p>
    <w:p>
      <w:pPr>
        <w:spacing w:after="0" w:line="27"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unrealized price movements in our precious metals inventories and related futures hedge positions during the period depicted in which we experienced temporary dislocations in published London spot market cash prices and Comex listed gold and silver futures contracts, related to potential tariffs to be imposed by the U.S. government on imported metals.</w:t>
      </w:r>
    </w:p>
    <w:p>
      <w:pPr>
        <w:spacing w:after="0" w:line="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our securities market-making and trading activities, we maintain inventories of equity and debt securities. In our Commercial segment, our positions include physical commodities inventories, precious metals on lease, forwards, futures and options on futures, and OTC derivatives. Our commodity trading activities are managed as one consolidated book for each commodity encompassing both cash positions and derivative instruments. We monitor the aggregate position for each commodity in equivalent physical ounces, metric tons, or other relevant unit.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our operations, we have interest rate risk from the possibility that changes in interest rates will affect the values of financial instruments and impact interest income earned. Within our domestic institutional dealer in fixed income securities business, we maintain a significant amount of trading assets and liabilities which are sensitive to changes in interest rates. These trading activities primarily consist of securities trading in connection with U.S. Treasury, U.S. government agency, agency mortgage-backed and agency asset-backed obligations, as well as investment grade, high-yield, convertible and emerging markets debt securities. Derivative instruments, which consist of futures, TBA securities and forward settling transactions, are used to manage risk exposures in the trading inventory. We enter into TBA securities transactions for the sole purpose of managing risk associated with mortgage-backed securities.</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generate interest income from the positive spread earned on client deposits. We typically invest in U.S. Treasury bills, notes, and obligations issued by government sponsored entities, reverse repurchase agreements involving U.S. Treasury bills and government obligations or AA-rated money market funds. In some instances, we maintain interest earning cash</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64" w:name="page65"/>
    <w:bookmarkEnd w:id="64"/>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deposits with banks, clearing organizations and counterparties. We have an investment policy which establishes acceptable standards of credit quality and limits the amount of funds that can be invested within a particular fund, institution, clearing organization or counterparty. We estimate that as of June 30, 2025, an immediate 25 basis point decrease in short-term interest rates would result in approximately $6.8 million less in annual net income.</w:t>
      </w:r>
    </w:p>
    <w:p>
      <w:pPr>
        <w:spacing w:after="0" w:line="68"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We manage interest expense using a combination of variable and fixed rate debt. The debt instruments are carried at their unpaid principal balance which approximates fair value. As of June 30, 2025, $352.7 million of outstanding principal debt was variable-rate debt. We are subject to earnings and liquidity risks for changes in the interest rate on this debt. As of June 30, 2025, $550.0 million of outstanding principal debt was fixed-rate long-term debt.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Currency risk arises from the possibility that fluctuations in foreign exchange rates will impact the value of our earnings and assets. Entities that have assets and liabilities denominated in currencies other than the primary economic environment in which the entity operates are subject to remeasurement. Principally, all sales are denominated in the currency of the subsidiary, while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As a result, our results of operations and financial position are exposed to changing currency rates. We have executed hedging transactions in relation to certain currencies to mitigate our exposure to volatility in those certain foreign currency exchange rates. From time-to-time, we may consider entering into larger hedges in those certain contracts or hedging transactions in additional currencies to mitigate our exposure to more foreign currency exchange rates. These hedging transactions may not be successful.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this Form 10-Q, our management, including the Chief Executive Officer and Chief Financial Officer, evaluated the effectiveness of the design and operation of our disclosure controls and procedures (as such term is defined in Rules 13a-15(e) and 15d-15(e) under the Exchange Act as of June 30, 2025. Based on such evaluation, our Chief Executive Officer and Chief Financial Officer have concluded that our disclosure controls and procedures were effective to provide reasonable assurance that their objectives were met as of June 30, 2025.</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As a result, there can be no assurance that a control system will succeed in preventing all possible instances of error and fraud. Our disclosure controls and procedures are designed to provide reasonable assurance of achieving their objectives, and the conclusions our Chief Executive Officer and Chief Financial Officer are made at the “reasonable assurance” level.</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June 30, 2025 that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legal proceedings to which we are currently a party, see Note 11, “Commitments and Contingencies” in the notes to our Condensed Consolidated Financial Statements included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information regarding risks affecting us appears in Part I, Item 1A of our Annual Report on Form 10-K for the fiscal year ended September 30, 2024. These are not the only risks we face. Additional risks and uncertainties not currently known to us or that management currently considers to be non-material may in the future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6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August 28, 2024, our Board of Directors authorized the repurchase of up to 2.3 million shares of our outstanding common stock from time to time in open market purchases and private transactions, commencing on October 1, 2024 and ending on September 30, 2025. Repurchases under our stock repurchase plan are subject to the discretion of the senior management team and market conditions, and as permitted by securities laws and other legal, regulatory and contractual requirements and covenants.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June 30, 2025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to be 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1, 2025 to April 30, 2025</w:t>
            </w:r>
          </w:p>
        </w:tc>
        <w:tc>
          <w:tcPr>
            <w:tcW w:w="1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88.41</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1, 2025 to May 31, 2025</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1, 2025 to June 30, 2025</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12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25,480</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88.40</w:t>
            </w:r>
          </w:p>
        </w:tc>
        <w:tc>
          <w:tcPr>
            <w:tcW w:w="120" w:type="dxa"/>
            <w:vAlign w:val="bottom"/>
          </w:tcPr>
          <w:p>
            <w:pPr>
              <w:spacing w:after="0"/>
              <w:rPr>
                <w:sz w:val="17"/>
                <w:szCs w:val="17"/>
                <w:color w:val="auto"/>
              </w:rPr>
            </w:pP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-1270</wp:posOffset>
            </wp:positionV>
            <wp:extent cx="3128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0" w:right="160" w:firstLine="6"/>
        <w:spacing w:after="0" w:line="242" w:lineRule="auto"/>
        <w:tabs>
          <w:tab w:leader="none" w:pos="152"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2022 Omnibus Incentive Compensation Plan allows for “withhold to cover” as a tax payment method for vesting of restricted stock awards. Pursuant to the “withhold to cover” method, we withheld from certain employees shares noted in the table above to cover tax withholding related to the vesting of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-191135</wp:posOffset>
            </wp:positionV>
            <wp:extent cx="3128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(as defined in Rule 16a-1(f) of the Exchange Act)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10160" w:type="dxa"/>
            <w:vAlign w:val="bottom"/>
            <w:gridSpan w:val="24"/>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Agreement and Plan of Merger, dated as of April 13, 2025, by and among StoneX Group Inc., RTS Merger Sub Inc., RTS Investor Corp. and Westmoor</w:t>
              </w:r>
            </w:hyperlink>
          </w:p>
        </w:tc>
      </w:tr>
      <w:tr>
        <w:trPr>
          <w:trHeight w:val="20"/>
        </w:trPr>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760" w:type="dxa"/>
            <w:vAlign w:val="bottom"/>
          </w:tcPr>
          <w:p>
            <w:pPr>
              <w:spacing w:after="0"/>
              <w:rPr>
                <w:sz w:val="12"/>
                <w:szCs w:val="12"/>
                <w:color w:val="auto"/>
              </w:rPr>
            </w:pPr>
          </w:p>
        </w:tc>
        <w:tc>
          <w:tcPr>
            <w:tcW w:w="10160" w:type="dxa"/>
            <w:vAlign w:val="bottom"/>
            <w:gridSpan w:val="24"/>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Trail Partners LLC, in its capacity as representative of the Equityholders as set forth therein (incorporated by reference to Exhibit 2.1 to the Current Report</w:t>
              </w:r>
            </w:hyperlink>
          </w:p>
        </w:tc>
      </w:tr>
      <w:tr>
        <w:trPr>
          <w:trHeight w:val="142"/>
        </w:trPr>
        <w:tc>
          <w:tcPr>
            <w:tcW w:w="76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on Form 8-K of StoneX Group Inc. filed on April 14, 2025).</w:t>
              </w:r>
            </w:hyperlink>
          </w:p>
        </w:tc>
        <w:tc>
          <w:tcPr>
            <w:tcW w:w="61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w:t>
            </w:r>
          </w:p>
        </w:tc>
        <w:tc>
          <w:tcPr>
            <w:tcW w:w="10160" w:type="dxa"/>
            <w:vAlign w:val="bottom"/>
            <w:gridSpan w:val="24"/>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Indenture by and among StoneX Escrow Issuer LLC, the guarantors party thereto from time to time and The Bank of New York Mellon, as trustee and</w:t>
              </w:r>
            </w:hyperlink>
          </w:p>
        </w:tc>
      </w:tr>
      <w:tr>
        <w:trPr>
          <w:trHeight w:val="142"/>
        </w:trPr>
        <w:tc>
          <w:tcPr>
            <w:tcW w:w="760" w:type="dxa"/>
            <w:vAlign w:val="bottom"/>
          </w:tcPr>
          <w:p>
            <w:pPr>
              <w:spacing w:after="0"/>
              <w:rPr>
                <w:sz w:val="12"/>
                <w:szCs w:val="12"/>
                <w:color w:val="auto"/>
              </w:rPr>
            </w:pPr>
          </w:p>
        </w:tc>
        <w:tc>
          <w:tcPr>
            <w:tcW w:w="974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collateral agent, dated July 8, 2025 (incorporated by reference to Exhibit 4.1 to the Current Report on Form 8-K of StoneX Group Inc. filed on July 8,</w:t>
              </w:r>
            </w:hyperlink>
          </w:p>
        </w:tc>
        <w:tc>
          <w:tcPr>
            <w:tcW w:w="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88">
              <w:r>
                <w:rPr>
                  <w:rFonts w:ascii="Times New Roman" w:cs="Times New Roman" w:eastAsia="Times New Roman" w:hAnsi="Times New Roman"/>
                  <w:sz w:val="16"/>
                  <w:szCs w:val="16"/>
                  <w:color w:val="0000FF"/>
                  <w:w w:val="96"/>
                </w:rPr>
                <w:t>2025).</w:t>
              </w:r>
            </w:hyperlink>
          </w:p>
        </w:tc>
        <w:tc>
          <w:tcPr>
            <w:tcW w:w="254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10160" w:type="dxa"/>
            <w:vAlign w:val="bottom"/>
            <w:gridSpan w:val="24"/>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Form of 6.875% Senior Secured Notes due 2032 (included in the Indenture of StoneX Group Inc., dated as of July 8, 2025). (incorporated by reference to</w:t>
              </w:r>
            </w:hyperlink>
          </w:p>
        </w:tc>
      </w:tr>
      <w:tr>
        <w:trPr>
          <w:trHeight w:val="142"/>
        </w:trPr>
        <w:tc>
          <w:tcPr>
            <w:tcW w:w="760" w:type="dxa"/>
            <w:vAlign w:val="bottom"/>
          </w:tcPr>
          <w:p>
            <w:pPr>
              <w:spacing w:after="0"/>
              <w:rPr>
                <w:sz w:val="12"/>
                <w:szCs w:val="12"/>
                <w:color w:val="auto"/>
              </w:rPr>
            </w:pPr>
          </w:p>
        </w:tc>
        <w:tc>
          <w:tcPr>
            <w:tcW w:w="998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Exhibit 4.2 to the Current Report on Form 8-K of StoneX Group Inc. filed on July 8, 2025).</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10160" w:type="dxa"/>
            <w:vAlign w:val="bottom"/>
            <w:gridSpan w:val="24"/>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First Supplemental Indenture dated as of July 31, 2025 to the Indenture by and among StoneX Group Inc. (as successor to StoneX Escrow Issuer LLC), the</w:t>
              </w:r>
            </w:hyperlink>
          </w:p>
        </w:tc>
      </w:tr>
      <w:tr>
        <w:trPr>
          <w:trHeight w:val="142"/>
        </w:trPr>
        <w:tc>
          <w:tcPr>
            <w:tcW w:w="760" w:type="dxa"/>
            <w:vAlign w:val="bottom"/>
          </w:tcPr>
          <w:p>
            <w:pPr>
              <w:spacing w:after="0"/>
              <w:rPr>
                <w:sz w:val="12"/>
                <w:szCs w:val="12"/>
                <w:color w:val="auto"/>
              </w:rPr>
            </w:pPr>
          </w:p>
        </w:tc>
        <w:tc>
          <w:tcPr>
            <w:tcW w:w="1010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guarantors party thereto from time to time and The Bank of New York Mellon, as trustee and collateral agent, dated July 8, 2025 (incorporated by reference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6200" w:type="dxa"/>
            <w:vAlign w:val="bottom"/>
            <w:tcBorders>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to Exhibit 4.1 to the Current Report on Form 8-K of StoneX Group Inc. filed on July 31, 2025).</w:t>
              </w:r>
            </w:hyperlink>
          </w:p>
        </w:tc>
        <w:tc>
          <w:tcPr>
            <w:tcW w:w="3940" w:type="dxa"/>
            <w:vAlign w:val="bottom"/>
            <w:gridSpan w:val="16"/>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10160" w:type="dxa"/>
            <w:vAlign w:val="bottom"/>
            <w:gridSpan w:val="24"/>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Restatement Agreement, dated June 3, 2025 to the Amended and Restated Credit Agreement, dated as of February 22, 2019 by and between StoneX Group</w:t>
              </w:r>
            </w:hyperlink>
          </w:p>
        </w:tc>
      </w:tr>
      <w:tr>
        <w:trPr>
          <w:trHeight w:val="142"/>
        </w:trPr>
        <w:tc>
          <w:tcPr>
            <w:tcW w:w="760" w:type="dxa"/>
            <w:vAlign w:val="bottom"/>
          </w:tcPr>
          <w:p>
            <w:pPr>
              <w:spacing w:after="0"/>
              <w:rPr>
                <w:sz w:val="12"/>
                <w:szCs w:val="12"/>
                <w:color w:val="auto"/>
              </w:rPr>
            </w:pPr>
          </w:p>
        </w:tc>
        <w:tc>
          <w:tcPr>
            <w:tcW w:w="101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Inc. (f/k/a INTL FCStone Inc.) as Borrower, the Lenders from time to time party thereto and Bank of America, N.A., as Administrative Agent (Annex A to</w:t>
              </w:r>
            </w:hyperlink>
          </w:p>
        </w:tc>
        <w:tc>
          <w:tcPr>
            <w:tcW w:w="40" w:type="dxa"/>
            <w:vAlign w:val="bottom"/>
            <w:gridSpan w:val="2"/>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1008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the Restatement Agreement contains the Amended Credit Agreement, as amended by the Restatement Agreement) (incorporated by reference to Exhibit</w:t>
              </w:r>
            </w:hyperlink>
          </w:p>
        </w:tc>
        <w:tc>
          <w:tcPr>
            <w:tcW w:w="80" w:type="dxa"/>
            <w:vAlign w:val="bottom"/>
            <w:gridSpan w:val="4"/>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55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Current Report on Form 8-K of StoneX Group Inc. filed on June 4, 2025).</w:t>
              </w:r>
            </w:hyperlink>
          </w:p>
        </w:tc>
        <w:tc>
          <w:tcPr>
            <w:tcW w:w="434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c>
          <w:tcPr>
            <w:tcW w:w="10160" w:type="dxa"/>
            <w:vAlign w:val="bottom"/>
            <w:gridSpan w:val="24"/>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Supplement No. 1 to Intercreditor Agreement, dated as of July 31, 2025, by and among the Company, the subsidiaries of the Company party from time to</w:t>
              </w:r>
            </w:hyperlink>
          </w:p>
        </w:tc>
      </w:tr>
      <w:tr>
        <w:trPr>
          <w:trHeight w:val="142"/>
        </w:trPr>
        <w:tc>
          <w:tcPr>
            <w:tcW w:w="76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time thereto, Bank of America, N.A., as first lien agent, The Bank of New York Mellon, as second lien agent, and Bank of America, N.A., as control agent</w:t>
              </w:r>
            </w:hyperlink>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8040" w:type="dxa"/>
            <w:vAlign w:val="bottom"/>
            <w:tcBorders>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(incorporated by reference to Exhibit 10.1 to the Current Report on Form 8-K of StoneX Group Inc. filed on July 31, 2025).</w:t>
              </w:r>
            </w:hyperlink>
          </w:p>
        </w:tc>
        <w:tc>
          <w:tcPr>
            <w:tcW w:w="2000" w:type="dxa"/>
            <w:vAlign w:val="bottom"/>
            <w:gridSpan w:val="10"/>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10.3</w:t>
            </w:r>
          </w:p>
        </w:tc>
        <w:tc>
          <w:tcPr>
            <w:tcW w:w="99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Supplement No. 1 to Security and Pledge Agreement, dated as of July 31, 2025, by and among the Company, the subsidiaries of the Company party from</w:t>
              </w:r>
            </w:hyperlink>
          </w:p>
        </w:tc>
        <w:tc>
          <w:tcPr>
            <w:tcW w:w="220" w:type="dxa"/>
            <w:vAlign w:val="bottom"/>
            <w:gridSpan w:val="10"/>
          </w:tcPr>
          <w:p>
            <w:pPr>
              <w:spacing w:after="0"/>
              <w:rPr>
                <w:sz w:val="21"/>
                <w:szCs w:val="21"/>
                <w:color w:val="auto"/>
              </w:rPr>
            </w:pPr>
          </w:p>
        </w:tc>
      </w:tr>
      <w:tr>
        <w:trPr>
          <w:trHeight w:val="142"/>
        </w:trPr>
        <w:tc>
          <w:tcPr>
            <w:tcW w:w="760" w:type="dxa"/>
            <w:vAlign w:val="bottom"/>
          </w:tcPr>
          <w:p>
            <w:pPr>
              <w:spacing w:after="0"/>
              <w:rPr>
                <w:sz w:val="12"/>
                <w:szCs w:val="12"/>
                <w:color w:val="auto"/>
              </w:rPr>
            </w:pPr>
          </w:p>
        </w:tc>
        <w:tc>
          <w:tcPr>
            <w:tcW w:w="10160" w:type="dxa"/>
            <w:vAlign w:val="bottom"/>
            <w:gridSpan w:val="24"/>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time to time thereto, and The Bank of New York Mellon, as collateral agent. (incorporated by reference to Exhibit 10.2 to the Current Report on Form 8-K</w:t>
              </w:r>
            </w:hyperlink>
          </w:p>
        </w:tc>
      </w:tr>
      <w:tr>
        <w:trPr>
          <w:trHeight w:val="142"/>
        </w:trPr>
        <w:tc>
          <w:tcPr>
            <w:tcW w:w="760" w:type="dxa"/>
            <w:vAlign w:val="bottom"/>
          </w:tcPr>
          <w:p>
            <w:pPr>
              <w:spacing w:after="0"/>
              <w:rPr>
                <w:sz w:val="12"/>
                <w:szCs w:val="12"/>
                <w:color w:val="auto"/>
              </w:rPr>
            </w:pPr>
          </w:p>
        </w:tc>
        <w:tc>
          <w:tcPr>
            <w:tcW w:w="29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of StoneX Group Inc. filed on July 31, 2025).</w:t>
              </w:r>
            </w:hyperlink>
          </w:p>
        </w:tc>
        <w:tc>
          <w:tcPr>
            <w:tcW w:w="7060" w:type="dxa"/>
            <w:vAlign w:val="bottom"/>
            <w:tcBorders>
              <w:top w:val="single" w:sz="8" w:color="0000FF"/>
            </w:tcBorders>
            <w:gridSpan w:val="15"/>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31.2</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32.1</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9600" w:type="dxa"/>
            <w:vAlign w:val="bottom"/>
            <w:gridSpan w:val="9"/>
            <w:shd w:val="clear" w:color="auto" w:fill="0000FF"/>
          </w:tcPr>
          <w:p>
            <w:pPr>
              <w:spacing w:after="0" w:line="20" w:lineRule="exact"/>
              <w:rPr>
                <w:sz w:val="1"/>
                <w:szCs w:val="1"/>
                <w:color w:val="auto"/>
              </w:rPr>
            </w:pPr>
          </w:p>
        </w:tc>
        <w:tc>
          <w:tcPr>
            <w:tcW w:w="560" w:type="dxa"/>
            <w:vAlign w:val="bottom"/>
            <w:tcBorders>
              <w:left w:val="single" w:sz="8" w:color="0000FF"/>
            </w:tcBorders>
            <w:gridSpan w:val="15"/>
          </w:tcPr>
          <w:p>
            <w:pPr>
              <w:spacing w:after="0" w:line="20" w:lineRule="exact"/>
              <w:rPr>
                <w:sz w:val="1"/>
                <w:szCs w:val="1"/>
                <w:color w:val="auto"/>
              </w:rPr>
            </w:pPr>
          </w:p>
        </w:tc>
      </w:tr>
      <w:tr>
        <w:trPr>
          <w:trHeight w:val="25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r>
      <w:tr>
        <w:trPr>
          <w:trHeight w:val="20"/>
        </w:trPr>
        <w:tc>
          <w:tcPr>
            <w:tcW w:w="760" w:type="dxa"/>
            <w:vAlign w:val="bottom"/>
          </w:tcPr>
          <w:p>
            <w:pPr>
              <w:spacing w:after="0" w:line="20" w:lineRule="exact"/>
              <w:rPr>
                <w:sz w:val="1"/>
                <w:szCs w:val="1"/>
                <w:color w:val="auto"/>
              </w:rPr>
            </w:pPr>
          </w:p>
        </w:tc>
        <w:tc>
          <w:tcPr>
            <w:tcW w:w="9600" w:type="dxa"/>
            <w:vAlign w:val="bottom"/>
            <w:gridSpan w:val="9"/>
            <w:shd w:val="clear" w:color="auto" w:fill="0000FF"/>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r>
      <w:tr>
        <w:trPr>
          <w:trHeight w:val="236"/>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101.INS</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 Inline</w:t>
            </w:r>
          </w:p>
        </w:tc>
      </w:tr>
      <w:tr>
        <w:trPr>
          <w:trHeight w:val="210"/>
        </w:trPr>
        <w:tc>
          <w:tcPr>
            <w:tcW w:w="760" w:type="dxa"/>
            <w:vAlign w:val="bottom"/>
          </w:tcPr>
          <w:p>
            <w:pPr>
              <w:spacing w:after="0"/>
              <w:rPr>
                <w:sz w:val="18"/>
                <w:szCs w:val="18"/>
                <w:color w:val="auto"/>
              </w:rPr>
            </w:pP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101.SCH</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101.CAL</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101.DEF</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101.LAB</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70"/>
        </w:trPr>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101.PRE</w:t>
            </w:r>
          </w:p>
        </w:tc>
        <w:tc>
          <w:tcPr>
            <w:tcW w:w="101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60" w:lineRule="exact"/>
        <w:rPr>
          <w:sz w:val="20"/>
          <w:szCs w:val="20"/>
          <w:color w:val="auto"/>
        </w:rPr>
      </w:pPr>
    </w:p>
    <w:p>
      <w:pPr>
        <w:ind w:left="860" w:right="4220" w:hanging="168"/>
        <w:spacing w:after="0" w:line="280" w:lineRule="auto"/>
        <w:tabs>
          <w:tab w:leader="none" w:pos="108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Cover Page Interactive Data File (formatted as inline XBRL and contained in Exhibit 101) * </w:t>
      </w:r>
      <w:r>
        <w:rPr>
          <w:rFonts w:ascii="Times New Roman" w:cs="Times New Roman" w:eastAsia="Times New Roman" w:hAnsi="Times New Roman"/>
          <w:sz w:val="16"/>
          <w:szCs w:val="16"/>
          <w:i w:val="1"/>
          <w:iCs w:val="1"/>
          <w:color w:val="auto"/>
        </w:rPr>
        <w:t>Filed as part of this report.</w:t>
      </w:r>
    </w:p>
    <w:p>
      <w:pPr>
        <w:spacing w:after="0" w:line="1" w:lineRule="exact"/>
        <w:rPr>
          <w:sz w:val="20"/>
          <w:szCs w:val="20"/>
          <w:color w:val="auto"/>
        </w:rPr>
      </w:pPr>
    </w:p>
    <w:p>
      <w:pPr>
        <w:ind w:left="1080" w:right="360" w:hanging="226"/>
        <w:spacing w:after="0" w:line="248"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StoneX Group Inc.</w:t>
            </w:r>
          </w:p>
        </w:tc>
      </w:tr>
      <w:tr>
        <w:trPr>
          <w:trHeight w:val="54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80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 Philip A. Smith</w:t>
            </w:r>
          </w:p>
        </w:tc>
      </w:tr>
      <w:tr>
        <w:trPr>
          <w:trHeight w:val="218"/>
        </w:trPr>
        <w:tc>
          <w:tcPr>
            <w:tcW w:w="2640" w:type="dxa"/>
            <w:vAlign w:val="bottom"/>
          </w:tcPr>
          <w:p>
            <w:pPr>
              <w:spacing w:after="0"/>
              <w:rPr>
                <w:sz w:val="18"/>
                <w:szCs w:val="18"/>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A. Smith</w:t>
            </w:r>
          </w:p>
        </w:tc>
      </w:tr>
      <w:tr>
        <w:trPr>
          <w:trHeight w:val="234"/>
        </w:trPr>
        <w:tc>
          <w:tcPr>
            <w:tcW w:w="264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80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 William J. Dunaway</w:t>
            </w:r>
          </w:p>
        </w:tc>
      </w:tr>
      <w:tr>
        <w:trPr>
          <w:trHeight w:val="218"/>
        </w:trPr>
        <w:tc>
          <w:tcPr>
            <w:tcW w:w="2640" w:type="dxa"/>
            <w:vAlign w:val="bottom"/>
          </w:tcPr>
          <w:p>
            <w:pPr>
              <w:spacing w:after="0"/>
              <w:rPr>
                <w:sz w:val="18"/>
                <w:szCs w:val="18"/>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Dunaway</w:t>
            </w:r>
          </w:p>
        </w:tc>
      </w:tr>
      <w:tr>
        <w:trPr>
          <w:trHeight w:val="234"/>
        </w:trPr>
        <w:tc>
          <w:tcPr>
            <w:tcW w:w="264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51"/>
        </w:trPr>
        <w:tc>
          <w:tcPr>
            <w:tcW w:w="2640" w:type="dxa"/>
            <w:vAlign w:val="bottom"/>
          </w:tcPr>
          <w:p>
            <w:pPr>
              <w:spacing w:after="0"/>
              <w:rPr>
                <w:sz w:val="24"/>
                <w:szCs w:val="24"/>
                <w:color w:val="auto"/>
              </w:rPr>
            </w:pPr>
          </w:p>
        </w:tc>
        <w:tc>
          <w:tcPr>
            <w:tcW w:w="80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66</w:t>
            </w:r>
          </w:p>
        </w:tc>
      </w:tr>
    </w:tbl>
    <w:p>
      <w:pPr>
        <w:sectPr>
          <w:pgSz w:w="11900" w:h="16838" w:orient="portrait"/>
          <w:cols w:equalWidth="0" w:num="1">
            <w:col w:w="11200"/>
          </w:cols>
          <w:pgMar w:left="320" w:top="1049" w:right="37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Smith, certify that:</w:t>
      </w:r>
    </w:p>
    <w:p>
      <w:pPr>
        <w:spacing w:after="0" w:line="171"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StoneX Group Inc.;</w:t>
      </w:r>
    </w:p>
    <w:p>
      <w:pPr>
        <w:spacing w:after="0" w:line="171"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hanging="326"/>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22" w:lineRule="exact"/>
        <w:rPr>
          <w:sz w:val="20"/>
          <w:szCs w:val="20"/>
          <w:color w:val="auto"/>
        </w:rPr>
      </w:pPr>
    </w:p>
    <w:p>
      <w:pPr>
        <w:ind w:left="1060" w:right="160" w:hanging="242"/>
        <w:spacing w:after="0" w:line="266" w:lineRule="auto"/>
        <w:tabs>
          <w:tab w:leader="none" w:pos="10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060" w:right="280" w:hanging="242"/>
        <w:spacing w:after="0" w:line="266" w:lineRule="auto"/>
        <w:tabs>
          <w:tab w:leader="none" w:pos="10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060" w:right="460" w:hanging="242"/>
        <w:spacing w:after="0" w:line="312" w:lineRule="auto"/>
        <w:tabs>
          <w:tab w:leader="none" w:pos="105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jc w:val="both"/>
        <w:ind w:left="1060" w:hanging="242"/>
        <w:spacing w:after="0" w:line="266" w:lineRule="auto"/>
        <w:tabs>
          <w:tab w:leader="none" w:pos="10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060" w:right="700" w:hanging="242"/>
        <w:spacing w:after="0" w:line="282" w:lineRule="auto"/>
        <w:tabs>
          <w:tab w:leader="none" w:pos="10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60" w:right="400" w:hanging="242"/>
        <w:spacing w:after="0" w:line="282" w:lineRule="auto"/>
        <w:tabs>
          <w:tab w:leader="none" w:pos="10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A. Smith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Dunaway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StoneX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40" w:lineRule="exact"/>
        <w:rPr>
          <w:rFonts w:ascii="Times New Roman" w:cs="Times New Roman" w:eastAsia="Times New Roman" w:hAnsi="Times New Roman"/>
          <w:sz w:val="18"/>
          <w:szCs w:val="18"/>
          <w:color w:val="auto"/>
        </w:rPr>
      </w:pPr>
    </w:p>
    <w:p>
      <w:pPr>
        <w:ind w:left="900" w:right="80" w:hanging="199"/>
        <w:spacing w:after="0" w:line="266" w:lineRule="auto"/>
        <w:tabs>
          <w:tab w:leader="none" w:pos="947"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9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902"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00" w:right="160" w:hanging="244"/>
        <w:spacing w:after="0" w:line="266" w:lineRule="auto"/>
        <w:tabs>
          <w:tab w:leader="none" w:pos="9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StoneX Group Inc. (the Company) on Form 10-Q for the period ended June 30, 2025 as filed with the Securities and Exchange Commission on the date hereof (the Report), I, Philip A. Smith,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80" w:hanging="367"/>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60" w:firstLine="413"/>
        <w:spacing w:after="0" w:line="470" w:lineRule="auto"/>
        <w:tabs>
          <w:tab w:leader="none" w:pos="7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6, 2025</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A. Smith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StoneX Group Inc. (the Company) on Form 10-Q for the period ended June 30, 2025 as filed with the Securities and Exchange Commission on the date hereof (the Report), I, William J. Dunaway,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00" w:hanging="368"/>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6, 2025</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04"/>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5"/>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87" Type="http://schemas.openxmlformats.org/officeDocument/2006/relationships/hyperlink" Target="https://www.sec.gov/Archives/edgar/data/913760/000091376025000063/clover-8xksigningxex21xmer.htm" TargetMode="External"/><Relationship Id="rId88" Type="http://schemas.openxmlformats.org/officeDocument/2006/relationships/hyperlink" Target="https://www.sec.gov/Archives/edgar/data/913760/000091376025000123/stonex-indenture2025execut.htm" TargetMode="External"/><Relationship Id="rId89" Type="http://schemas.openxmlformats.org/officeDocument/2006/relationships/hyperlink" Target="https://www.sec.gov/Archives/edgar/data/913760/000091376025000127/stonex-supplementalindentu.htm" TargetMode="External"/><Relationship Id="rId90" Type="http://schemas.openxmlformats.org/officeDocument/2006/relationships/hyperlink" Target="https://www.sec.gov/Archives/edgar/data/913760/000091376025000104/restatementagreementex101.htm" TargetMode="External"/><Relationship Id="rId91" Type="http://schemas.openxmlformats.org/officeDocument/2006/relationships/hyperlink" Target="https://www.sec.gov/Archives/edgar/data/913760/000091376025000127/stonex-supplementtointercr.htm" TargetMode="External"/><Relationship Id="rId92" Type="http://schemas.openxmlformats.org/officeDocument/2006/relationships/hyperlink" Target="https://www.sec.gov/Archives/edgar/data/913760/000091376025000127/stonex-supplementtosecur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2025-08-07T05:22:15Z</dcterms:created>
  <dcterms:modified xsi:type="dcterms:W3CDTF">2025-08-07T05:22:15Z</dcterms:modified>
</cp:coreProperties>
</file>