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462915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488950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 w:lineRule="exact"/>
        <w:rPr>
          <w:sz w:val="24"/>
          <w:szCs w:val="24"/>
          <w:color w:val="auto"/>
        </w:rPr>
      </w:pPr>
    </w:p>
    <w:p>
      <w:pPr>
        <w:ind w:left="200" w:right="2420" w:hanging="147"/>
        <w:spacing w:after="0" w:line="273"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2020</w:t>
      </w:r>
    </w:p>
    <w:p>
      <w:pPr>
        <w:spacing w:after="0" w:line="102" w:lineRule="exact"/>
        <w:rPr>
          <w:sz w:val="24"/>
          <w:szCs w:val="24"/>
          <w:color w:val="auto"/>
        </w:rPr>
      </w:pPr>
    </w:p>
    <w:p>
      <w:pPr>
        <w:ind w:left="200" w:right="3200" w:hanging="152"/>
        <w:spacing w:after="0" w:line="273" w:lineRule="auto"/>
        <w:tabs>
          <w:tab w:leader="none" w:pos="3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56"/>
        </w:trPr>
        <w:tc>
          <w:tcPr>
            <w:tcW w:w="3800" w:type="dxa"/>
            <w:vAlign w:val="bottom"/>
          </w:tcPr>
          <w:p>
            <w:pPr>
              <w:spacing w:after="0"/>
              <w:rPr>
                <w:sz w:val="22"/>
                <w:szCs w:val="22"/>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6"/>
                <w:szCs w:val="16"/>
                <w:b w:val="1"/>
                <w:bCs w:val="1"/>
                <w:color w:val="auto"/>
              </w:rPr>
              <w:t>Commission File Number 000-23554</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87"/>
        </w:trPr>
        <w:tc>
          <w:tcPr>
            <w:tcW w:w="3800" w:type="dxa"/>
            <w:vAlign w:val="bottom"/>
          </w:tcPr>
          <w:p>
            <w:pPr>
              <w:spacing w:after="0"/>
              <w:rPr>
                <w:sz w:val="24"/>
                <w:szCs w:val="24"/>
                <w:color w:val="auto"/>
              </w:rPr>
            </w:pPr>
          </w:p>
        </w:tc>
        <w:tc>
          <w:tcPr>
            <w:tcW w:w="3500" w:type="dxa"/>
            <w:vAlign w:val="bottom"/>
            <w:gridSpan w:val="5"/>
          </w:tcPr>
          <w:p>
            <w:pPr>
              <w:jc w:val="center"/>
              <w:ind w:left="70"/>
              <w:spacing w:after="0"/>
              <w:rPr>
                <w:sz w:val="20"/>
                <w:szCs w:val="20"/>
                <w:color w:val="auto"/>
              </w:rPr>
            </w:pPr>
            <w:r>
              <w:rPr>
                <w:rFonts w:ascii="Times New Roman" w:cs="Times New Roman" w:eastAsia="Times New Roman" w:hAnsi="Times New Roman"/>
                <w:sz w:val="32"/>
                <w:szCs w:val="32"/>
                <w:b w:val="1"/>
                <w:bCs w:val="1"/>
                <w:color w:val="auto"/>
              </w:rPr>
              <w:t>StoneX Group Inc.</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336"/>
        </w:trPr>
        <w:tc>
          <w:tcPr>
            <w:tcW w:w="3800" w:type="dxa"/>
            <w:vAlign w:val="bottom"/>
          </w:tcPr>
          <w:p>
            <w:pPr>
              <w:jc w:val="center"/>
              <w:ind w:left="153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gridSpan w:val="2"/>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59-2921318</w:t>
            </w:r>
          </w:p>
        </w:tc>
      </w:tr>
      <w:tr>
        <w:trPr>
          <w:trHeight w:val="146"/>
        </w:trPr>
        <w:tc>
          <w:tcPr>
            <w:tcW w:w="3800" w:type="dxa"/>
            <w:vAlign w:val="bottom"/>
          </w:tcPr>
          <w:p>
            <w:pPr>
              <w:jc w:val="center"/>
              <w:ind w:left="151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gridSpan w:val="2"/>
          </w:tcPr>
          <w:p>
            <w:pPr>
              <w:jc w:val="center"/>
              <w:ind w:right="183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gridSpan w:val="2"/>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155 East 44th Street, Suite 900</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4"/>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New York, NY 10017</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2"/>
        </w:trPr>
        <w:tc>
          <w:tcPr>
            <w:tcW w:w="3800" w:type="dxa"/>
            <w:vAlign w:val="bottom"/>
          </w:tcPr>
          <w:p>
            <w:pPr>
              <w:spacing w:after="0"/>
              <w:rPr>
                <w:sz w:val="21"/>
                <w:szCs w:val="21"/>
                <w:color w:val="auto"/>
              </w:rPr>
            </w:pPr>
          </w:p>
        </w:tc>
        <w:tc>
          <w:tcPr>
            <w:tcW w:w="28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(212) 485-3500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7"/>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Act: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330"/>
        </w:trPr>
        <w:tc>
          <w:tcPr>
            <w:tcW w:w="38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940" w:type="dxa"/>
            <w:vAlign w:val="bottom"/>
            <w:gridSpan w:val="3"/>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SNEX</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2"/>
          </w:tcPr>
          <w:p>
            <w:pPr>
              <w:jc w:val="center"/>
              <w:ind w:right="899"/>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6"/>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12(g) of the Act:</w:t>
            </w:r>
          </w:p>
        </w:tc>
        <w:tc>
          <w:tcPr>
            <w:tcW w:w="35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01"/>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0"/>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28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5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2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8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8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c>
          <w:tcPr>
            <w:tcW w:w="3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31, 2020, the aggregate market value of the registrant’s common stock held by non-affiliates of the registrant was approximately $429.6 million.</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December 10, 2020, there were 19,434,929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817880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portions of the definitive Proxy Statement for the Registrant’s Annual Meeting of Stockholders to be held on February 24,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 for the Fiscal Year Ended September 30, 2020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7960" w:type="dxa"/>
            <w:vAlign w:val="bottom"/>
          </w:tcPr>
          <w:p>
            <w:pPr>
              <w:spacing w:after="0"/>
              <w:rPr>
                <w:sz w:val="13"/>
                <w:szCs w:val="13"/>
                <w:color w:val="auto"/>
              </w:rPr>
            </w:pPr>
          </w:p>
        </w:tc>
        <w:tc>
          <w:tcPr>
            <w:tcW w:w="204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240" w:type="dxa"/>
            <w:vAlign w:val="bottom"/>
            <w:vMerge w:val="continue"/>
          </w:tcPr>
          <w:p>
            <w:pPr>
              <w:spacing w:after="0"/>
              <w:rPr>
                <w:sz w:val="17"/>
                <w:szCs w:val="17"/>
                <w:color w:val="auto"/>
              </w:rPr>
            </w:pPr>
          </w:p>
        </w:tc>
        <w:tc>
          <w:tcPr>
            <w:tcW w:w="7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4">
              <w:r>
                <w:rPr>
                  <w:rFonts w:ascii="Times New Roman" w:cs="Times New Roman" w:eastAsia="Times New Roman" w:hAnsi="Times New Roman"/>
                  <w:sz w:val="14"/>
                  <w:szCs w:val="14"/>
                  <w:u w:val="single" w:color="auto"/>
                  <w:color w:val="0000FF"/>
                </w:rPr>
                <w:t>Business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4">
              <w:r>
                <w:rPr>
                  <w:rFonts w:ascii="Times New Roman" w:cs="Times New Roman" w:eastAsia="Times New Roman" w:hAnsi="Times New Roman"/>
                  <w:sz w:val="14"/>
                  <w:szCs w:val="14"/>
                  <w:u w:val="single" w:color="auto"/>
                  <w:color w:val="0000FF"/>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8">
              <w:r>
                <w:rPr>
                  <w:rFonts w:ascii="Times New Roman" w:cs="Times New Roman" w:eastAsia="Times New Roman" w:hAnsi="Times New Roman"/>
                  <w:sz w:val="14"/>
                  <w:szCs w:val="14"/>
                  <w:u w:val="single" w:color="auto"/>
                  <w:color w:val="0000FF"/>
                </w:rPr>
                <w:t>Risk Factors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18">
              <w:r>
                <w:rPr>
                  <w:rFonts w:ascii="Times New Roman" w:cs="Times New Roman" w:eastAsia="Times New Roman" w:hAnsi="Times New Roman"/>
                  <w:sz w:val="14"/>
                  <w:szCs w:val="14"/>
                  <w:u w:val="single" w:color="auto"/>
                  <w:color w:val="0000FF"/>
                </w:rPr>
                <w:t>17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Unresolved Staff Comments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27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Properties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27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Legal Proceedings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27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Mine Safety Disclosures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28">
              <w:r>
                <w:rPr>
                  <w:rFonts w:ascii="Times New Roman" w:cs="Times New Roman" w:eastAsia="Times New Roman" w:hAnsi="Times New Roman"/>
                  <w:sz w:val="14"/>
                  <w:szCs w:val="14"/>
                  <w:u w:val="single" w:color="auto"/>
                  <w:color w:val="0000FF"/>
                </w:rPr>
                <w:t>27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7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29">
              <w:r>
                <w:rPr>
                  <w:rFonts w:ascii="Times New Roman" w:cs="Times New Roman" w:eastAsia="Times New Roman" w:hAnsi="Times New Roman"/>
                  <w:sz w:val="14"/>
                  <w:szCs w:val="14"/>
                  <w:u w:val="single" w:color="auto"/>
                  <w:color w:val="0000FF"/>
                </w:rPr>
                <w:t>Market for Registrant’s Common Equity, Related Stockholder Matters and Issuer Purchases of Equity Securities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29">
              <w:r>
                <w:rPr>
                  <w:rFonts w:ascii="Times New Roman" w:cs="Times New Roman" w:eastAsia="Times New Roman" w:hAnsi="Times New Roman"/>
                  <w:sz w:val="14"/>
                  <w:szCs w:val="14"/>
                  <w:u w:val="single" w:color="auto"/>
                  <w:color w:val="0000FF"/>
                </w:rPr>
                <w:t>28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30">
              <w:r>
                <w:rPr>
                  <w:rFonts w:ascii="Times New Roman" w:cs="Times New Roman" w:eastAsia="Times New Roman" w:hAnsi="Times New Roman"/>
                  <w:sz w:val="14"/>
                  <w:szCs w:val="14"/>
                  <w:u w:val="single" w:color="auto"/>
                  <w:color w:val="0000FF"/>
                </w:rPr>
                <w:t>Selected Financial Data</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30">
              <w:r>
                <w:rPr>
                  <w:rFonts w:ascii="Times New Roman" w:cs="Times New Roman" w:eastAsia="Times New Roman" w:hAnsi="Times New Roman"/>
                  <w:sz w:val="14"/>
                  <w:szCs w:val="14"/>
                  <w:u w:val="single" w:color="auto"/>
                  <w:color w:val="0000FF"/>
                </w:rPr>
                <w:t>30</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31">
              <w:r>
                <w:rPr>
                  <w:rFonts w:ascii="Times New Roman" w:cs="Times New Roman" w:eastAsia="Times New Roman" w:hAnsi="Times New Roman"/>
                  <w:sz w:val="14"/>
                  <w:szCs w:val="14"/>
                  <w:u w:val="single" w:color="auto"/>
                  <w:color w:val="0000FF"/>
                </w:rPr>
                <w:t>Management’s Discussion and Analysis of Financial Condition and Results of Operations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31">
              <w:r>
                <w:rPr>
                  <w:rFonts w:ascii="Times New Roman" w:cs="Times New Roman" w:eastAsia="Times New Roman" w:hAnsi="Times New Roman"/>
                  <w:sz w:val="14"/>
                  <w:szCs w:val="14"/>
                  <w:u w:val="single" w:color="auto"/>
                  <w:color w:val="0000FF"/>
                </w:rPr>
                <w:t>31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63">
              <w:r>
                <w:rPr>
                  <w:rFonts w:ascii="Times New Roman" w:cs="Times New Roman" w:eastAsia="Times New Roman" w:hAnsi="Times New Roman"/>
                  <w:sz w:val="14"/>
                  <w:szCs w:val="14"/>
                  <w:u w:val="single" w:color="auto"/>
                  <w:color w:val="0000FF"/>
                </w:rPr>
                <w:t>Quantitative and Qualitative Disclosures about Market Risk</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63">
              <w:r>
                <w:rPr>
                  <w:rFonts w:ascii="Times New Roman" w:cs="Times New Roman" w:eastAsia="Times New Roman" w:hAnsi="Times New Roman"/>
                  <w:sz w:val="14"/>
                  <w:szCs w:val="14"/>
                  <w:u w:val="single" w:color="auto"/>
                  <w:color w:val="0000FF"/>
                </w:rPr>
                <w:t>62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65">
              <w:r>
                <w:rPr>
                  <w:rFonts w:ascii="Times New Roman" w:cs="Times New Roman" w:eastAsia="Times New Roman" w:hAnsi="Times New Roman"/>
                  <w:sz w:val="14"/>
                  <w:szCs w:val="14"/>
                  <w:u w:val="single" w:color="auto"/>
                  <w:color w:val="0000FF"/>
                </w:rPr>
                <w:t>Financial Statements and Supplementary Data</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rPr>
            </w:pPr>
            <w:hyperlink w:anchor="page65">
              <w:r>
                <w:rPr>
                  <w:rFonts w:ascii="Times New Roman" w:cs="Times New Roman" w:eastAsia="Times New Roman" w:hAnsi="Times New Roman"/>
                  <w:sz w:val="14"/>
                  <w:szCs w:val="14"/>
                  <w:u w:val="single" w:color="auto"/>
                  <w:color w:val="0000FF"/>
                </w:rPr>
                <w:t>65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2">
              <w:r>
                <w:rPr>
                  <w:rFonts w:ascii="Times New Roman" w:cs="Times New Roman" w:eastAsia="Times New Roman" w:hAnsi="Times New Roman"/>
                  <w:sz w:val="14"/>
                  <w:szCs w:val="14"/>
                  <w:u w:val="single" w:color="auto"/>
                  <w:color w:val="0000FF"/>
                </w:rPr>
                <w:t>Changes in and Disagreements with Accountants on Accounting and Financial Disclosure</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2">
              <w:r>
                <w:rPr>
                  <w:rFonts w:ascii="Times New Roman" w:cs="Times New Roman" w:eastAsia="Times New Roman" w:hAnsi="Times New Roman"/>
                  <w:sz w:val="14"/>
                  <w:szCs w:val="14"/>
                  <w:u w:val="single" w:color="auto"/>
                  <w:color w:val="0000FF"/>
                  <w:w w:val="94"/>
                </w:rPr>
                <w:t>132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3">
              <w:r>
                <w:rPr>
                  <w:rFonts w:ascii="Times New Roman" w:cs="Times New Roman" w:eastAsia="Times New Roman" w:hAnsi="Times New Roman"/>
                  <w:sz w:val="14"/>
                  <w:szCs w:val="14"/>
                  <w:u w:val="single" w:color="auto"/>
                  <w:color w:val="0000FF"/>
                </w:rPr>
                <w:t>Controls and Procedures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3">
              <w:r>
                <w:rPr>
                  <w:rFonts w:ascii="Times New Roman" w:cs="Times New Roman" w:eastAsia="Times New Roman" w:hAnsi="Times New Roman"/>
                  <w:sz w:val="14"/>
                  <w:szCs w:val="14"/>
                  <w:u w:val="single" w:color="auto"/>
                  <w:color w:val="0000FF"/>
                  <w:w w:val="94"/>
                </w:rPr>
                <w:t>132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3">
              <w:r>
                <w:rPr>
                  <w:rFonts w:ascii="Times New Roman" w:cs="Times New Roman" w:eastAsia="Times New Roman" w:hAnsi="Times New Roman"/>
                  <w:sz w:val="14"/>
                  <w:szCs w:val="14"/>
                  <w:u w:val="single" w:color="auto"/>
                  <w:color w:val="0000FF"/>
                </w:rPr>
                <w:t>Other Information</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3">
              <w:r>
                <w:rPr>
                  <w:rFonts w:ascii="Times New Roman" w:cs="Times New Roman" w:eastAsia="Times New Roman" w:hAnsi="Times New Roman"/>
                  <w:sz w:val="14"/>
                  <w:szCs w:val="14"/>
                  <w:u w:val="single" w:color="auto"/>
                  <w:color w:val="0000FF"/>
                  <w:w w:val="94"/>
                </w:rPr>
                <w:t>132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7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4">
              <w:r>
                <w:rPr>
                  <w:rFonts w:ascii="Times New Roman" w:cs="Times New Roman" w:eastAsia="Times New Roman" w:hAnsi="Times New Roman"/>
                  <w:sz w:val="14"/>
                  <w:szCs w:val="14"/>
                  <w:u w:val="single" w:color="auto"/>
                  <w:color w:val="0000FF"/>
                </w:rPr>
                <w:t>Directors, Executive Officers and Corporate Governance</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4">
              <w:r>
                <w:rPr>
                  <w:rFonts w:ascii="Times New Roman" w:cs="Times New Roman" w:eastAsia="Times New Roman" w:hAnsi="Times New Roman"/>
                  <w:sz w:val="14"/>
                  <w:szCs w:val="14"/>
                  <w:u w:val="single" w:color="auto"/>
                  <w:color w:val="0000FF"/>
                  <w:w w:val="94"/>
                </w:rPr>
                <w:t>133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4">
              <w:r>
                <w:rPr>
                  <w:rFonts w:ascii="Times New Roman" w:cs="Times New Roman" w:eastAsia="Times New Roman" w:hAnsi="Times New Roman"/>
                  <w:sz w:val="14"/>
                  <w:szCs w:val="14"/>
                  <w:u w:val="single" w:color="auto"/>
                  <w:color w:val="0000FF"/>
                </w:rPr>
                <w:t>Executive Compensation</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4">
              <w:r>
                <w:rPr>
                  <w:rFonts w:ascii="Times New Roman" w:cs="Times New Roman" w:eastAsia="Times New Roman" w:hAnsi="Times New Roman"/>
                  <w:sz w:val="14"/>
                  <w:szCs w:val="14"/>
                  <w:u w:val="single" w:color="auto"/>
                  <w:color w:val="0000FF"/>
                  <w:w w:val="94"/>
                </w:rPr>
                <w:t>133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4">
              <w:r>
                <w:rPr>
                  <w:rFonts w:ascii="Times New Roman" w:cs="Times New Roman" w:eastAsia="Times New Roman" w:hAnsi="Times New Roman"/>
                  <w:sz w:val="14"/>
                  <w:szCs w:val="14"/>
                  <w:u w:val="single" w:color="auto"/>
                  <w:color w:val="0000FF"/>
                </w:rPr>
                <w:t>Security Ownership of Certain Beneficial Owners and Management and Related Stockholder Matters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4">
              <w:r>
                <w:rPr>
                  <w:rFonts w:ascii="Times New Roman" w:cs="Times New Roman" w:eastAsia="Times New Roman" w:hAnsi="Times New Roman"/>
                  <w:sz w:val="14"/>
                  <w:szCs w:val="14"/>
                  <w:u w:val="single" w:color="auto"/>
                  <w:color w:val="0000FF"/>
                  <w:w w:val="94"/>
                </w:rPr>
                <w:t>133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4">
              <w:r>
                <w:rPr>
                  <w:rFonts w:ascii="Times New Roman" w:cs="Times New Roman" w:eastAsia="Times New Roman" w:hAnsi="Times New Roman"/>
                  <w:sz w:val="14"/>
                  <w:szCs w:val="14"/>
                  <w:u w:val="single" w:color="auto"/>
                  <w:color w:val="0000FF"/>
                </w:rPr>
                <w:t>Certain Relationships and Related Transactions, and Director Independence</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4">
              <w:r>
                <w:rPr>
                  <w:rFonts w:ascii="Times New Roman" w:cs="Times New Roman" w:eastAsia="Times New Roman" w:hAnsi="Times New Roman"/>
                  <w:sz w:val="14"/>
                  <w:szCs w:val="14"/>
                  <w:u w:val="single" w:color="auto"/>
                  <w:color w:val="0000FF"/>
                  <w:w w:val="94"/>
                </w:rPr>
                <w:t>133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4">
              <w:r>
                <w:rPr>
                  <w:rFonts w:ascii="Times New Roman" w:cs="Times New Roman" w:eastAsia="Times New Roman" w:hAnsi="Times New Roman"/>
                  <w:sz w:val="14"/>
                  <w:szCs w:val="14"/>
                  <w:u w:val="single" w:color="auto"/>
                  <w:color w:val="0000FF"/>
                </w:rPr>
                <w:t>Principal Accountant Fees and Services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4">
              <w:r>
                <w:rPr>
                  <w:rFonts w:ascii="Times New Roman" w:cs="Times New Roman" w:eastAsia="Times New Roman" w:hAnsi="Times New Roman"/>
                  <w:sz w:val="14"/>
                  <w:szCs w:val="14"/>
                  <w:u w:val="single" w:color="auto"/>
                  <w:color w:val="0000FF"/>
                  <w:w w:val="94"/>
                </w:rPr>
                <w:t>133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7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7960" w:type="dxa"/>
            <w:vAlign w:val="bottom"/>
          </w:tcPr>
          <w:p>
            <w:pPr>
              <w:ind w:left="240"/>
              <w:spacing w:after="0"/>
              <w:rPr>
                <w:rFonts w:ascii="Times New Roman" w:cs="Times New Roman" w:eastAsia="Times New Roman" w:hAnsi="Times New Roman"/>
                <w:sz w:val="14"/>
                <w:szCs w:val="14"/>
                <w:u w:val="single" w:color="auto"/>
                <w:color w:val="0000FF"/>
              </w:rPr>
            </w:pPr>
            <w:hyperlink w:anchor="page135">
              <w:r>
                <w:rPr>
                  <w:rFonts w:ascii="Times New Roman" w:cs="Times New Roman" w:eastAsia="Times New Roman" w:hAnsi="Times New Roman"/>
                  <w:sz w:val="14"/>
                  <w:szCs w:val="14"/>
                  <w:u w:val="single" w:color="auto"/>
                  <w:color w:val="0000FF"/>
                </w:rPr>
                <w:t>Exhibits and Financial Statement Schedules</w:t>
              </w:r>
            </w:hyperlink>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5">
              <w:r>
                <w:rPr>
                  <w:rFonts w:ascii="Times New Roman" w:cs="Times New Roman" w:eastAsia="Times New Roman" w:hAnsi="Times New Roman"/>
                  <w:sz w:val="14"/>
                  <w:szCs w:val="14"/>
                  <w:u w:val="single" w:color="auto"/>
                  <w:color w:val="0000FF"/>
                  <w:w w:val="94"/>
                </w:rPr>
                <w:t>134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360"/>
              <w:spacing w:after="0"/>
              <w:rPr>
                <w:rFonts w:ascii="Times New Roman" w:cs="Times New Roman" w:eastAsia="Times New Roman" w:hAnsi="Times New Roman"/>
                <w:sz w:val="14"/>
                <w:szCs w:val="14"/>
                <w:b w:val="1"/>
                <w:bCs w:val="1"/>
                <w:u w:val="single" w:color="auto"/>
                <w:color w:val="0000FF"/>
              </w:rPr>
            </w:pPr>
            <w:hyperlink w:anchor="page136">
              <w:r>
                <w:rPr>
                  <w:rFonts w:ascii="Times New Roman" w:cs="Times New Roman" w:eastAsia="Times New Roman" w:hAnsi="Times New Roman"/>
                  <w:sz w:val="14"/>
                  <w:szCs w:val="14"/>
                  <w:b w:val="1"/>
                  <w:bCs w:val="1"/>
                  <w:u w:val="single" w:color="auto"/>
                  <w:color w:val="0000FF"/>
                </w:rPr>
                <w:t>Signatures</w:t>
              </w:r>
            </w:hyperlink>
          </w:p>
        </w:tc>
        <w:tc>
          <w:tcPr>
            <w:tcW w:w="7960" w:type="dxa"/>
            <w:vAlign w:val="bottom"/>
          </w:tcPr>
          <w:p>
            <w:pPr>
              <w:spacing w:after="0"/>
              <w:rPr>
                <w:sz w:val="21"/>
                <w:szCs w:val="21"/>
                <w:color w:val="auto"/>
              </w:rPr>
            </w:pPr>
          </w:p>
        </w:tc>
        <w:tc>
          <w:tcPr>
            <w:tcW w:w="1540" w:type="dxa"/>
            <w:vAlign w:val="bottom"/>
            <w:gridSpan w:val="2"/>
          </w:tcPr>
          <w:p>
            <w:pPr>
              <w:jc w:val="center"/>
              <w:ind w:left="1188"/>
              <w:spacing w:after="0"/>
              <w:rPr>
                <w:rFonts w:ascii="Times New Roman" w:cs="Times New Roman" w:eastAsia="Times New Roman" w:hAnsi="Times New Roman"/>
                <w:sz w:val="14"/>
                <w:szCs w:val="14"/>
                <w:u w:val="single" w:color="auto"/>
                <w:color w:val="0000FF"/>
                <w:w w:val="94"/>
              </w:rPr>
            </w:pPr>
            <w:hyperlink w:anchor="page136">
              <w:r>
                <w:rPr>
                  <w:rFonts w:ascii="Times New Roman" w:cs="Times New Roman" w:eastAsia="Times New Roman" w:hAnsi="Times New Roman"/>
                  <w:sz w:val="14"/>
                  <w:szCs w:val="14"/>
                  <w:u w:val="single" w:color="auto"/>
                  <w:color w:val="0000FF"/>
                  <w:w w:val="94"/>
                </w:rPr>
                <w:t>136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8"/>
        </w:trPr>
        <w:tc>
          <w:tcPr>
            <w:tcW w:w="124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7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based on current expectations and assumptions that are subject to risks and uncertainties which may cause actual results to differ materially from the forward-looking statements. A detailed discussion of these and other risks and uncertainties that could cause actual results and events to differ materially from such forward-looking statements is included in the section entitled “Risk Factors” (refer to Part I, Item 1A). We undertake no obligation to update or revise publicly any forward-looking statements, whether as a result of new information, future events or otherwise.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 and Strategy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2,950 employees as of September 30, 2020. We believe our client-first approach differentiates us from large banking institutions, engenders trust and has enabled us to establish leadership positions in a number of complex fields in financial markets around the world.</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offer a vertically integrated product suite, beginning with high-touch and electronic access to nearly all major financial markets worldwide, as well as numerous liquidity venues. We deliver this access through the entire lifecycle of a trade, from deep market expertise and on-the-ground intelligence, to best execution and finally post-trade clearing, custody and settlement services. We believe this is a unique product offering outside of the bulge bracket banks, which creates long-term relationships with our clients. Our business model has created a revenue stream that is diversified by asset class, client type and geography, earning commissions and spreads as clients execute transactions across our financial network, monetizing non-trading client activity including interest and fee earnings on client balances as well as earning consulting and fees for our market intelligence and risk management services.</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currently serve more than 32,000 commercial and institutional clients, and over 330,000 retail accounts located in more than 130 countries. We believe we are the third largest independent, non-bank futures commission merchant (“FCM”) in the United States (“U.S.”) as measured by our $3.0 billion in required client segregated assets at our U.S. FCM as of September 30, 2020, and one of the leading market makers in foreign securities, making markets in approximately 5,000 different foreign securities. We are one of only nine Category One ring dealing members of the London Metals Exchange (the “LME”). Our clients include commercial entities, regional, national and introducing broker-dealers, asset managers, insurance companies, brokers, institutional and individual investors, professional traders, commercial and investment banks as well as government and non-governmental organizations (“NGOs”). We believe our clients value us for our attention to their needs, our expertise and flexibility, our global reach, our ability to provide access to liquidity in hard-to-reach markets and opportunities, and our status as a well-capitalized and regulatory-compliant organization.</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engage in direct sales efforts to seek new clients, with a strategy of extending our services to potential clients that are similar in size and operations to our existing client base. In executing this strategy, we intend to both target new geographic locations and expand the services offered in geographic locations in which we currently operate where there is an unmet demand for our services. In addition, we seek to attract new clients through our Internet websites including StoneX.com, FOREX.com and Cityindex.com. We also pursue new clients through indirect channels including our relationships with introducing brokers, who solicit clients on our behalf, and white label partners, who offer our services to their customers under their own brand. In addition, we selectively pursue small- to medium-sized acquisitions, focusing primarily on targets that satisfy specified criteria, including client-centric organizations that may help us expand into new asset classes, client segments and geographies where we currently have a small or limited market presence.</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to capitalize on key trends impacting the financial services sector. Among others, these trends include the impact of increased regulation on banking institutions and other financial services providers; increased consolidation, especially of smaller sub-scale financial services providers and independent securities clearing firms; the growing importance and complexity of conducting secure cross-border transactions; and the demand among financial institutions to transact with well-capitalized counterparties.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focus on mitigating exposure to market risk, ensuring adequate liquidity to maintain our daily operations and making non-interest expenses variable, to the greatest extent possible. Our strategy is to utilize a centralized and disciplined process for capital allocation, risk management and cost control, while delegating the execution of strategic objectives and day-to-day management to experienced individuals. This requires high quality managers, a clear communication of performance objectives and strong financial and compliance controls. We believe this strategy will enable us to build a more scalable and significantly larger organization that embraces an entrepreneurial approach to business, supported and underpinned by strong centralized financial and compliance controls.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internet address is www.stonex.com. Our annual reports on Form 10-K, quarterly reports on Form 10-Q, current reports on Form 8-K, statements of changes in beneficial ownership and press releases are available free of charge in the Investor Relations section of this website. Our website also includes information regarding our corporate governance, including our Code of Ethics, which governs our directors, officers and employees. The content of our website is not incorporated by reference into this report or any other filings with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Capabilities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provide our clients access to financial markets and liquidity sources globally to enable them to efficiently hedge their risk and/or gain exposure. Our financial network connects over 32,000 commercial and institutional clients and over 330,000 retail clients to 36 derivatives exchanges, most global securities exchanges and over 15,000 over-the-counter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provide trade execution services to our clients via both high-touch service and electronically through a wide variety of technology platforms that connects them to markets across the globe. Asset and product types include listed futures and options on futures, equities, mutual funds, equity options, foreign currencies, corporate, government and municipal bonds and unit investment trusts.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competitive and efficient clearing on all major futures exchanges globally. In addition, we act as an independent full-service provider of clearing, custody, research and security-based lending products in the global securities markets. We provide multi-asset prime brokerage, outsourced trading and custody, as well as self-clearing and introduced clearing services for hedge funds, mutual funds and family offices. We provide prime brokerage services in major foreign currency pairs and swap transactions to institutional clients. Additionally, we provide clearing of foreign exchange transactions, in addition to clearing of a wide range of over-the-counter “(OTC”) products.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Payments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built a scalable platform to provide end-to-end global payment solutions to banks and commercial businesses, as well as charities, NGOs and government organizations. We offer payments services in approximately 140 currencies. In this business, we primarily act as a principal in buying and selling foreign currencies on a spot basis deriving revenue from the difference between the purchase and sale prices. Through our comprehensive platform and our commitment to client service, we provide simple and fast execution, delivering funds in any of these countries quickly through our global network of more than 325 correspondent banking relationships.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Services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value-added advisory services and high-touch trade execution across a variety of financial markets, including commodities, foreign currencies, interest rates, institutional asset management and independent wealth management. For commercial clients with exposure to commodities, foreign currencies and interest rates, we work through our proprietary Integrated Risk Management Program (“IRMP®”) to systematically identify and quantify their risks and then develop strategic plans to effectively manage these risks with a view to protecting their margins and ultimately improving their bottom lines.</w:t>
      </w:r>
    </w:p>
    <w:p>
      <w:pPr>
        <w:spacing w:after="0" w:line="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also participate in the underwriting and trading of municipal securities in domestic markets as well as asset-backed securities in our Argentinian operations. Through our asset management activities, we leverage our specialist expertise in niche markets to provide institutional investors with tailored investment products. Through our independent wealth management business, we provide advisory services to the growing retail investor market.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Intelligence</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Market Intelligence platform provides our clients with access to deep data and incisive commentary from our expert traders and analysts from across our global network. This platform focuses on providing local, actionable insights and detailed intelligence from every market we trade, through the lens of our professionals, who leverage first-hand knowledge and personal connections to deliver a unique advantage for our clients.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Physical Trading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act as a principal to support the needs of our clients in a variety of physical commodities, primarily precious metals, as well as across the commodity complex, including energy commodities, grains, oil seeds, cotton, coffee, cocoa, edible oils and feed products. Through these activities, we have the ability to offer a simplified risk management approach to our commercial clients by embedding more complex hedging structures as part of each physical contract to provide clients with enhanced price risk mitigation. We also offer clients efficient off-take or supply services, as well as logistics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OTC / Market-Making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offer clients access to the OTC markets for a broad range of traded commodities, foreign currencies, contracts for difference (“CFDs”) and interest rates, as well as to global securities markets. For clients with commodity price and financial risk, our customized and tailored OTC structures help mitigate those risks by integrating the processes of product design, execution of the underlying components of the structured risk product, transaction reporting and valuation.</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provide market-making and execution in a variety of financial products including commodity derivatives, unlisted American Depository Receipts (“ADRs”) and Global Depository Receipts (“GDRs”), foreign ordinary shares, and foreign currencies. In addition, we are an institutional dealer in fixed income securities including U.S. Treasury, U.S. government agency, agency mortgage-backed, asset-backed, corporate, emerging market, and high-yield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as operating segments and organized into reportable segments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the opportunity to retain our clients.</w:t>
      </w:r>
    </w:p>
    <w:p>
      <w:pPr>
        <w:spacing w:after="0" w:line="5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risk management consulting services are designed to quantify and monitor commercial entities’ exposure to commodity and financial risk. Upon assessing this exposure, we develop a plan to control and hedge these risks with post-trade reporting against specific client objectives. Our clients are assisted in the execution of their hedging strategies through a wide range of products from listed exchange-traded futures and options, to basic OTC instruments that offer greater flexibility, to structured OTC products designed for customized solutions.</w:t>
      </w:r>
    </w:p>
    <w:p>
      <w:pPr>
        <w:spacing w:after="0" w:line="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execution and clearing services span virtually all traded commodity markets, with the largest concentrations in agricultural and energy commodities (consisting primarily of grains, energy and renewable fuels, coffee, sugar, cotton, and food service) as well as precious and base metals products. We also provide execution of foreign currency forwards and options and interest rate swaps as well as a wide range of structured product solutions to our commercial clients who are seeking cost-effective hedging strategies. Generally, our clients direct their own trading activity, and our risk management consultants do not have discretionary authority to transact trades on behalf of our clients.</w:t>
      </w:r>
    </w:p>
    <w:p>
      <w:pPr>
        <w:spacing w:after="0" w:line="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provide a full range of physical trading capabilities in precious metals markets providing our clients the ability to purchase physical gold and other precious metals, in multiple forms, and in denominations of their choice. In our precious metals trading activities, we act as a principal, committing our own capital to buy and sell precious metals on a spot and forward basis.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we act as a principal to facilitate financing, structured pricing and logistics services to clients across the commodity complex, including energy commodities, grains, oil seeds, cotton, coffee, cocoa, edible oils and feed products. We provide financing to commercial commodity-related companies against physical inventories.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generally mitigate the price risk associated with commodities held in inventory through the use of derivatives. We do not elect hedge accounting under accounting principles generally accepted in the United States of America (“U.S. GAAP”) in accounting for this price risk mitigation.</w:t>
      </w:r>
    </w:p>
    <w:p>
      <w:pPr>
        <w:spacing w:after="0" w:line="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Within this segment we organize our marketing efforts into client industry product lines including agricultural, energy and renewable fuels, metals and various other commodities servicing commercial producers, end users and intermediaries around the world.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Commercial Segment</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Commercial industry comprises the activities associated with the identification, management, hedging and monitoring of various commodity and financial risks faced by commercial entities in their business cycles, including risks related to interest rates, foreign exchange, agricultural commodities, energy and renewable fuels, industrial metals, precious metals, and other physical commodities.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Industry participants include producers/end-users, wholesalers and merchants, corporations, introducing brokers, grain elevators, merchandisers, importer/exporter and market intermediaries such as FCMs and swaps dealers, and liquidity venues such as commodity exchanges, financial exchanges and OTC markets. Commercial entities face a variety of risks, including risks related to commodity input pricing, supply chain management and inventory financing, interest rate changes, exchange rate changes, and price and quantity volatility in their outputs. Market intermediaries facilitate the identification, management and hedging of commodity and financial risks on behalf of commercial entities by designing and executing hedging programs through the use of various hedging instruments, including futures and options traded on exchanges or plain vanilla and more complex structured products traded bi-laterally on the OTC markets. Commercial entities occasionally prefer to manage exposure to physical commodities through direct purchase and sale agreements for which they may utilize the services of physical commodity merchants.</w:t>
      </w:r>
    </w:p>
    <w:p>
      <w:pPr>
        <w:spacing w:after="0" w:line="8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need for, and volume of, client hedging activity is driven by commodity supply and demand dynamics, quantity and quality of commodity production and consumption, both locally and globally, trading of various commodities, and economic and geopolitical factors. In addition, the price levels and price volatility of various commodities generally increase the need of commercial clients to hedge. FCMs, swaps dealers, physical commodity merchants and other intermediaries and service providers create value for commercial clients by managing risks across the clients’ operations, allowing them to focus on their core expertise. In addition, commercial clients often face financial risks such as interest rate and exchange rate volatility, which these intermediaries help to mitigate. Physical commodity merchants serve clients by providing trading, hedging, inventory financing and logistics services.</w:t>
      </w:r>
    </w:p>
    <w:p>
      <w:pPr>
        <w:spacing w:after="0" w:line="6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in the Commercial segment include independent (non-bank) FCMs, FCMs affiliated with large commodity producers, global banks and independent and bank-owned swaps dealers. Although global banks represent the vast majority of client segregated assets, they tend to focus on larger clients. Independent, non-bank FCMs tend to focus on serving small- to mid-sized commercial clients where they face less competition from the global banks. Over the last 11 years since the financial crisis, the global banks have increased the minimum size of clients they are willing to serve, in part due to decreasing profit margins often driven by regulation, such as the Dodd-Frank Wall Street Reform and Consumer Protection Act (the “Dodd-Frank Act”) in the United States and the revised Markets in Financial Instruments Directive (“MiFID II”) and accompanying regulation, Markets in Financial Instruments Regulation (“MiFIR”) in Europe. This has presented an opportunity for smaller players in this industry, such as us, to acquire small and mid-sized clients and take market share.</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increase market share and attract new clients that are underserved by the global banks, capitalizing on our position as one of few publicly listed mid-sized financial services companies offering our clients futures and options products through our well-capitalized independent FCM, structured OTC products through our swaps dealer as well as our physical commodity offerings. We have also taken advantage of opportunities to consolidate sub-scale competitors into our Commercial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value-added solutions that facilitate cross-border trading in equity securities and believe our clients value our ability to manage complex transactions, including foreign exchange, utilizing our local understanding of market convention, liquidity and settlement protocols around the world. Our clients include U.S.-based regional and national broker-dealers and institutions investing or executing client transactions in international markets and foreign institutions seeking access to the U.S. securities markets. We are one of the leading market makers in foreign securities, making markets in more than 5,000 ADRs, GDRs and foreign ordinary shares, of which over 3,600 trade in the OTC market. In addition, we will, on request, make prices in more than 10,000 unlisted foreign securities. We are also a broker-dealer in Argentina and Brazil, where we are active in providing institutional executions in the local capital markets.</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act as an institutional dealer in fixed income securities, including U.S. Treasury, U.S. government agency, agency mortgage-backed and asset-backed securities as well as investment grade, high yield, convertible and emerging market debt to a client base including asset managers, commercial bank trust and investment departments, broker-dealers and insurance companies.</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an independent full-service provider to introducing broker-dealers (“IBD’s”) of clearing, custody, research, syndicated and security-based lending products and services, including a proprietary technology platform which offers seamless connectivity to ensure a positive client experience through the clearing and settlement process. We believe we are one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leading mid-market clearers in the securities industry, with approximately 70 correspondent clearing relationships with over $18 billion in assets under management or administration as of September 30, 2020.</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operate an asset management business in which we earn fees, commissions and other revenues for management of third party assets and investment gains or losses on our investments in funds and proprietary accounts managed either by our investment managers or by independent investment managers.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Listed Derivatives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competitive and efficient clearing and execution in all major futures exchanges globally. Through our platforms, client orders are accepted and directed to the appropriate exchange for execution. We then facilitate the clearing of clients’ transactions. Clearing involves the matching of clients’ trades with the exchange, the collection and management of client margin deposits to support the transactions, and the accounting and reporting of the transactions to clients.</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September 30, 2020, our U.S. FCM held $3.0 billion in required client segregated assets, which we believe makes us the third largest independent, non-bank FCM in the U.S., as measured by required client segregated assets. We seek to leverage our capabilities and capacity in clearing to financial institutions, institutional trading firms, professional traders and introducing brokers as well as offering facilities management or outsourcing solutions to other FCM’s. Through our London-based Europe, Middle East and Africa (“EMEA”) oil voice brokerage business, we provide brokerage services across the fuel, crude and middle distillates markets to clients throughout EMEA.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provide prime brokerage foreign exchange (“FX”) services to financial institutions and professional traders. We provide our clients with the full range of OTC products, including 24-hour a day execution of spot, forwards and options as well as non-deliverable forwards in both liquid and exotic currencies.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Institutional Segment</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industry in which we provide services within our Institutional segment comprises activities associated with the trading of, and investment in, various financial assets, including equity and debt securities, commodities, foreign currencies, interest rates, and derivatives, both exchange-traded and OTC. This industry also includes various services provided to participants in the financial markets, which allow participants access to liquidity and execution venues, as well as clearing and settlement of transactions. Industry participants include institutional and retail investors, banks, insurance companies, fund managers, hedge funds, investment advisers, proprietary trading firms, commodity trading advisors and commodity pool operators, and foreign institutions and investors seeking access to U.S. markets, as well as various market intermediaries such as market makers, regional and national broker-dealers, independent broker-dealers, FCMs, and investment banks and liquidity venues, such as securities and derivatives exchanges and OTC marketplaces.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Trading and investing activity across asset classes is driven by growth in wealth and savings, investors’ asset allocation and diversification needs, including across geographies, and return objectives, risk management needs and the availability of speculative arbitrage opportunities. Volatility in asset prices generally drives increased trading activity and increased demand for execution and clearing services.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Broker-dealers, FCMs, investment banks and other intermediaries create value for institutional clients by facilitating client access to various financial markets, including securities and derivatives exchanges, proprietary sources of liquidity, OTC markets, other institutions and international markets. Market intermediaries can act as market-makers or principal traders that facilitate client trading activity by matching orders internally. Market intermediaries can also act as agents that accept orders, direct them to the appropriate market and facilitate the clearing of client transactions, which involves matching client trades with the exchange, collecting and managing client margin deposits to support the transactions, and accounting and reporting these transactions to clients.</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Certain market intermediaries, predominantly investment banks, also provide advisory services, securities underwriting, loan syndications, security-based lending products and services, custodial services, investment research products, asset management services and technology platforms for client connectivity.</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Competitors in the securities and clearing and execution segments include global banks, institutional broker-dealers, correspondent clearers, independent broker-dealers, clearing FCMs and market-makers. We compete to secure clients based on quality of execution and client service, global access and local market expertise, and the breadth of our product offerings.</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Regulatory burdens for FCMs and broker-dealers have increased since the financial crisis, which has led to increased complexity and capital requirements that have disproportionately affected smaller firms, driving consolidation. We have benefited from these trends and expect them to continue, and we seek opportunities to participate in further industry consolidation.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provide our retail clients around the world access to over 15,000 global financial markets, including spot foreign exchange, both financial trading and physical investment in precious metals, as well as CFDs, which are investment products with returns linked to the performance of underlying assets. In addition, our independent wealth management business offers a comprehensive product suite to retail investors in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Forex</w:t>
      </w:r>
    </w:p>
    <w:p>
      <w:pPr>
        <w:spacing w:after="0" w:line="11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are a global provider of trading services and solutions in the global financial markets, including spot foreign exchange (“forex”), precious metals trading, as well as CFDs, which are investment products with returns linked to the performance of underlying assets. We offer CFDs on currencies, commodities, indices, individual equities, cryptocurrencies, bonds, options and interest rate products.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seek to attract and support our customers through direct and indirect channels. Our primary direct channels for our retail segment are our Internet websites, FOREX.com and Cityindex.com, which are available in multiple languages, including English, Chinese, Japanese and Arabic. Our indirect channels include our relationships with introducing brokers, who solicit customers on our behalf, and white label partners, who offer our trading services to their customers under their own brand.</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award-winning proprietary trading technology provides our customers with an enhanced customer experience and multiple ways to trade and manage their accounts, tailored to their level of experience and preferred mode of access. In addition, we selectively offer third party trading tools that we believe complement our proprietary offerings. We believe that our proprietary trading technology is a significant competitive advantage because we have the ability to adapt quickly to our customers’ changing needs.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longstanding relationships with a large number of institutional liquidity providers, as well as access to multiple liquidity venues. They allow us to offer our customers superior liquidity and more competitive pricing with tighter bid/offer spreads than many of our competitors. In addition, we have developed a proprietary pricing engine that aggregates quotes from our liquidity sources to ensure that our prices accurately reflect current market price levels and allow us to provide our customers with fast, accurate trade execution.</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proprietary technology to handle numerous aspects of account onboarding and customer service including the account opening and customer verification process, fast online account funding and withdrawals with a wide variety of automated payment methods, and on-demand delivery of customer information, such as account statements and other account-related reporting. We also offer account opening and funding functions on our mobile trading applications in order to provide a superior experience to the large number of customers who trade primarily through their mobile devices. Given the highly regulated and global nature of our business, these processes are customized to each regulatory jurisdiction in which we operate, and are further tailored to customer needs and preferences in specific countries in order to make it easier for clients in these countries to open accounts with us and then to fund and trade in those accounts.</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our retail business, we look to acquire new customers as cost-efficiently as possible, primarily through online marketing efforts such as advertising on third-party websites, search engine marketing and affiliate marketing. Our experienced in-house marketing team creates highly targeted online campaigns tailored to experienced traders, as well as marketing programs and materials designed to support and educate newer traders. We use sophisticated tracking and measurement techniques to monitor the results of individual campaigns and continually work to optimize our overall marketing results.</w:t>
      </w:r>
    </w:p>
    <w:p>
      <w:pPr>
        <w:spacing w:after="0" w:line="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also work with introducing brokers in order to expand our customer base. We work with a variety of different types of introducing brokers, ranging from small, specialized firms that specifically identify and solicit customers interested in forex and CFD trading, to larger, more established financial services firms.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Wealth Management</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independent broker/dealer, SA Stone Wealth Management Inc. (“SA Stone”), member FINRA/SIPC, together with its affiliated SEC-registered investment advisor, SA Stone Investment Advisors Inc., provides an integrated platform of technology, comprehensive wealth management and investment services to registered representatives, investment advisor representatives and registered investment advisors nationwide. The firm supports more than 650 independent professionals with best-in-class service and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Precious Metals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physical retail precious metals business is comprised of the acquisition of CoinInvest GmbH and European Precious Metal Trading GmbH, which was completed in April 2019. Through our websites coininvest.com and silver-to-go.com we offer clients the ability to purchase physical gold and other precious metals, in multiple forms, including coins and bars, in denominations of their choice, to add to their investment portfolios.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Retail</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market for our retail services is rapidly evolving and highly competitive. Our competitors vary by region in terms of regulatory status, breadth of product offering, size and geographic scope of operations. In the retail forex industry, we compete with both regulated forex firms as well as with global multi-asset trading firms. In wealth management, our competitors vary from large integrated banks and on-line brokerage firms to smaller regional registered investment advisory firms, where competition is driven by reduced commission rates, continue development of online trading platforms and applications as well as customer service.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customized foreign exchange and treasury services to banks and commercial businesses as well as charities and non-governmental and government organizations. We provide transparent pricing and offer payments services in more than 170 countries and 140 currencies, which we believe is more than any other payments solutions provider.</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proprietary FXecute global payments platform is integrated with a financial information exchange (“FIX”) protocol. This FIX protocol is an electronic communication method for the real-time exchange of information, and we believe it represents one of the first FIX offerings for cross-border payments in exotic currencies. FIX functionality allows clients to view real time market rates for various currencies, execute and manage orders in real-time, and view the status of their payments through the easy-to-use portal.</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as a member of the Society for Worldwide Interbank Financial Telecommunication (“SWIFT”), we are able to offer our services to large money center and global banks seeking more competitive international payments services. In addition, we operate a fully accredited SWIFT Service Bureau which facilitates cross-border payments and acceptance transactions for financial institutions, trade networks and corporations.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Through this single comprehensive platform and our commitment to client service, we believe we are able to provide simple and fast execution, ensuring delivery of funds in local currency to any of these countries quickly through our global network of approximately 325 correspondent banks. In this business, we primarily act as a principal in buying and selling foreign currencies on a spot basis. We derive revenue from the difference between the purchase and sale prices.</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our clients value our ability to provide exchange rates that are significantly more competitive than those offered by large international banks, a competitive advantage that stems from our years of foreign exchange expertise focused on smaller, less liquid currencies.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Global Payments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Increasing globalization and growth of international trade, as well as the need of corporations, institutions and individuals to move money across borders efficiently, have driven growing activity in the global payments industry. As the world becomes increasingly interconnected, corporations require the ability to cost-effectively exchange foreign currencies and to send and receive payments from clients and suppliers. NGOs also demand cross-border payment services as they attempt to bring funding, goods and services to their target geographies and recipients at the lowest possible cost. Even banks require lower cost implementation of foreign exchange transactions, as they are otherwise dependent on correspondent banks, which may subject such transactions to expensive and opaque pricing.</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Volume growth in the global payments market has been steady, driving revenue growth for cross-border payments providers. Increasingly, this volume growth comes from transactions to emerging economies, benefiting those few providers such as us who have a strong competitive position in those emerging economies and an extensive correspondent bank network that would be difficult to replicate. As reported in the Boston Consulting Group 2019 Global Payments Report, by 2028, emerging economies are expected to provide over 55% of total payments revenue.</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global payments market has historically been dominated by large Organization for Economic Co-operation and Development (“OECD”) banks that provide G20 to non-G20 foreign exchange rates to clients. Such banks, however, are reliant on their correspondent banking network for foreign exchange rates, which often results in uncompetitive rates and a lack of transparency. These issues are further exacerbated by a lack of uniform regulation in the B2B global payments sector, with no coordinated regulatory framework, even among significant OECD countries.</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the general lack of transparency in bank offerings in the global payments market with regard to fees and exchange rates, the banks’ often more expensive services, as well as the lack of systematic regulation, have opened opportunities for competitors in this market. As a result, the fast-growing space has attracted significant investor interest. Independent providers have entered the market, leveraging technology to lower client acquisition costs and providing an enhanced client experience through online platforms. In the global payments market, we believe we are one of those independent providers and disrupters offering significant value to our bank, corporate and NGO/charities clients, providing competitive and transparent payments solutions in particular for non-G20 currencies.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during Fiscal Year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Capital Holdings, Inc.</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31, 2020, the Company acquired Gain Capital Holdings, Inc. (“Gain”). Gain is a global provider of trading services and solutions to institutional and retail investors, specializing in both OTC products and exchange-traded futures and options on futures. Gain provides its clients with access to a diverse range of global OTC financial markets, including spot foreign exchange, precious metals, and contracts for a difference (where permitted). As a result of the acquisition, the Company added a new digital platform to its global financial network, significantly expanded its offerings to retail clients, as well as added a complementary exchange-traded futures and options on futures business. The acquisition of Gain is also expected to accelerate the digitization of the Company’s trading platforms.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business and the industries in which we operate are highly regulated. Our operating subsidiaries are regulated in a number of jurisdictions including the U.S., the U.K., Luxembourg, Germany, Argentina, Brazil, Dubai, Nigeria, Hong Kong, Singapore, Japan, Australia, Canada and the Cayman Islands. Government regulators and self-regulatory organizations oversee the conduct of our business in many ways, and a number perform regular examinations to monitor our compliance with applicable statutes, regulations and rules. These statutes, regulations and rules cover all aspects of our business, including:</w:t>
      </w:r>
    </w:p>
    <w:p>
      <w:pPr>
        <w:spacing w:after="0" w:line="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maintaining specified minimum amounts of capital and limiting withdrawals of funds from our regulated operating subsidiaries;</w:t>
      </w:r>
    </w:p>
    <w:p>
      <w:pPr>
        <w:spacing w:after="0" w:line="14" w:lineRule="exact"/>
        <w:rPr>
          <w:rFonts w:ascii="Arial" w:cs="Arial" w:eastAsia="Arial" w:hAnsi="Arial"/>
          <w:sz w:val="22"/>
          <w:szCs w:val="22"/>
          <w:color w:val="auto"/>
        </w:rPr>
      </w:pPr>
    </w:p>
    <w:p>
      <w:pPr>
        <w:ind w:left="660" w:right="740" w:hanging="328"/>
        <w:spacing w:after="0" w:line="232"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treatment of customer assets, including custody, control, safekeeping and, in certain countries, segregation of our customer funds and securities;</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methods by which customers can fund accounts with us;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 activities, including our interaction with, and solicitation of, customers;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disclosures to customers, including those related to product risks, self-dealing and material conflicts of interest;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safeguarding of customer personal information;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anti-money laundering practices;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recordkeeping and reporting requirements;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continuing education and licensing requirements for our employees, and supervision of the conduct of directors, officers and employees.</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some jurisdictions in which we offer our products and services, we are not subject to regulation because there is no established regulatory regime that covers our products and services or due to the manner in which we offer our products and service. From time to time, we consult with legal counsel in jurisdictions in which we operate on a regular basis, or where we have a material concentration of customers, as to whether we have the required authorizations, licenses or approvals or whether we may conduct our business cross-border with residents in that jurisdiction without obtaining local regulatory authorization, approval or consent. To the extent that we wish to serve customers in a jurisdiction in which we determine licensing or registration is required, we may also elect to direct such customers to a licensed white label or other partner, rather than pursuing licensing or registration ourselves.</w:t>
      </w:r>
    </w:p>
    <w:p>
      <w:pPr>
        <w:spacing w:after="0" w:line="6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Though we conduct our business in a manner which we believe complies with applicable local law, regulators may assert authority over activities that they deem to take place within the jurisdiction they regulate, and new laws, rules or regulations may be enacted that change the regulatory landscape and result in new, or clarify preexisting, registration or licensing requirements.</w:t>
      </w:r>
    </w:p>
    <w:p>
      <w:pPr>
        <w:spacing w:after="0" w:line="69"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The primary responsibility for ensuring that we maintain compliance with all applicable regulatory requirements is vested in our legal and compliance departments. In addition, our legal and compliance departments are responsible for our ongoing training and education programs, supervision of our personnel required to be licensed by one or more of our regulators, review of sales, marketing and other communications and other related functions. In addition, our sales employees are licensed pursuant to applicable regulation.</w:t>
      </w:r>
    </w:p>
    <w:p>
      <w:pPr>
        <w:spacing w:after="0" w:line="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Failure to comply with our regulatory requirements could result in a variety of sanctions, including, but not limited to, revocation of applicable licenses and registrations, restrictions or limitations on our ability to carry on our business, suspensions of individual employees and significant fines.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08"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 xml:space="preserve">The commodities industry in the U.S. is subject to extensive regulation under federal law. We are required to comply with a wide range of requirements imposed by the Commodity Futures Trading Commission (the “CFTC”) and the National Futures Association (the “NFA”). Similarly,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securities industry in the U.S. is subject to extensive regulation under federal and state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securities laws. We must comply with a wide range of requirements imposed by the SEC, state securities commissions, the Municipal Securities Rulemaking Board (“MSRB”) and the Financial Industry Regulatory Authority (“FINRA”). These regulatory bodies safeguard the integrity of the financial markets and protect the interests of investors in these markets. They also impose minimum capital requirements on regulated entities.</w:t>
      </w:r>
    </w:p>
    <w:p>
      <w:pPr>
        <w:spacing w:after="0" w:line="69"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8"/>
          <w:szCs w:val="18"/>
          <w:color w:val="auto"/>
        </w:rPr>
        <w:t>In connection with our wealth management business, one of our subsidiaries, SA Stone Investment Advisors Inc., is registered with, and subject to oversight by, the SEC as an investment adviser. As such, in its relations with its advisory clients, SA Stone Investment Advisers Inc. is subject to the fiduciary and other obligations imposed on investment advisers under the Investment Advisers Act of 1940 and the rules and regulations promulgated thereunder, as well as various state securities laws. These laws and regulations include obligations relating to, among other things, custody and management of client assets, marketing activities, self-dealing and full disclosure of material conflicts of interest, and generally grant the SEC and other supervisory bodies administrative powers to address non-compliance.</w:t>
      </w:r>
    </w:p>
    <w:p>
      <w:pPr>
        <w:spacing w:after="0" w:line="76"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The CFTC and NFA also regulate our forex and futures trading activities. Historically, the principal legislation covering our U.S. forex business was the Commodity Exchange Act, which provides for federal regulation of all commodities and futures trading activities. In recent years, as is the case of other companies in the financial services industry, our forex business has been subject to increasing regulatory oversight. The CFTC Reauthorization Act of 2019, which grants the CFTC express authority to regulate the retail forex industry, includes a series of additional rules which regulate various aspects of our business, including additional risk disclosures to retail forex customers, further limitations on sales and marketing materials and additional rules and interpretive notices regarding NFA mandated Information Systems Security Programs, including training and notification requirements for cybersecurity incidents.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Capital Requirements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our subsidiaries are regulated and subject to minimum and/or net capital requirements. All of our subsidiaries are in compliance with their capital regulatory requirements as of September 30, 2020. Additional information on our subsidiaries subject to significant net capital and minimum net capital requirements can be found in Note 14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Segregated Client Assets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client segregated deposits from our clients relating to their trading of futures and options on futures on U.S. commodities exchanges, making it subject to CFTC regulation 1.20, which specifies that such funds must be held in segregation and not commingled with the firm’s own assets. We maintain acknowledgment letters from each depository at which we maintain client segregated deposits in which the depository acknowledges the nature of funds on deposit in the account. In addition, CFTC regulations require filing of a daily segregation calculation which compares the assets held in clients segregated depositories (“segregated assets”) to the firm’s total segregated assets held on deposit from clients (“segregated liabilities”). The amount of client segregated assets must be in excess of the segregated liabilities owed to clients and any shortfall in such assets must be immediately communicated to the CFTC.</w:t>
      </w:r>
    </w:p>
    <w:p>
      <w:pPr>
        <w:spacing w:after="0" w:line="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addition, we are subject to CFTC regulation 1.25, which governs the acceptable investment of client segregated assets. This regulation allows for the investment of client segregated assets in readily marketable instruments including U.S. Treasury securities, municipal securities, government sponsored enterprise securities, certificates of deposit, commercial paper and corporate notes or bonds which are guaranteed by the U.S. under the Temporary Liquidity Guarantee Program, interest in money market mutual funds, and repurchase transactions with unaffiliated entities in otherwise allowable securities. We predominately invest our client segregated assets in U.S. Treasury securities and interest-bearing bank deposits.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in our capacity as a securities clearing broker-dealer, we clear transactions for clients and certain proprietary accounts of broker-dealers (“PABs”). In accordance with Rule 15c3-3 of the Securities Exchange Act of 1934 (“Rule 15c3-3”), we maintain special reserve bank accounts (“SRBAs”) for the exclusive benefit of securities clients and PABs.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several of our foreign subsidiaries are subject to certain business rules, including those that govern the treatment of client money and other assets which under certain circumstances for certain classes of client must be segregated from the firm’s own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Client Assets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maintain client secured deposits from its clients relating to their trading of futures and options on futures traded on, or subject to the rules of, a foreign board of trade, making it subject to CFTC Regulation 30.7, which requires that such funds must be carried in separate accounts in an amount sufficient to satisfy all of our current obligations to clients trading foreign futures and foreign options on foreign commodity exchanges or boards of trade, which are designated as secured clients’ accounts.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Forex Client Assets</w:t>
      </w:r>
    </w:p>
    <w:p>
      <w:pPr>
        <w:spacing w:after="0" w:line="1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As a Retail Foreign Exchange dealer (“RFED”) registered with the CFTC and member of NFA, we maintain deposits from clients relating to their trading of OTC foreign exchange contracts whereby we act as counterparty to client trading activity making it subject to CFTC regulation 5.8, which specifies that such funds must be held in designated accounts at qualifying institutions in the United States or money center countries as defined by CFTC regulation</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1.49. In addition, CFTC regulations require filing of a daily retail forex obligation calculation which compares the assets held for clients with qualifying institutions (“retail forex assets”) to the firm’s total obligation to retail forex customers, also known as net liquidating value (“retail forex liabilities”). The amount of retail forex assets must be in excess of the retail forex liabilities owed to clients and any shortfall in such assets must be immediately communicated to the CFTC.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Dodd-Frank</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Like other companies in the financial services industry, the Dodd-Frank Wall Street Reform and Consumer Protection Act (the “Dodd-Frank Act”) provides for a number of significant provisions affecting our business. Notably, the Dodd-Frank Act requires the registration of swap dealers with the CFTC and provides framework for:</w:t>
      </w:r>
    </w:p>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swap data reporting and record keeping on counterparties and data repositories;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centralized clearing for swaps, with limited exceptions for end-users;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to execute swaps on regulated swap execution facilities;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imposition on swap dealers to exchange margin on uncleared swaps with counterparties; and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to comply with new capital rules.</w:t>
      </w:r>
    </w:p>
    <w:p>
      <w:pPr>
        <w:spacing w:after="0" w:line="9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are a CFTC provisionally registered swap dealer, whose business is overseen by the NFA. During 2016, CFTC 23.154, Calculation of Initial Margin rules came into effect, imposing new requirements on registered swap dealers and certain counterparties to exchange initial margin, with phased-in compliance dates, under which we fall in the final compliance date tier initially identified as September 2021 and recently extended to September 2022. Additionally, the CFTC finalized the proposed net capital rules applicable to swap dealers on July 22, 2020. We will need to be in compliance with the new rules effective October 6,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retail OTC business, the Dodd-Frank Act includes:</w:t>
      </w:r>
    </w:p>
    <w:p>
      <w:pPr>
        <w:spacing w:after="0" w:line="77" w:lineRule="exact"/>
        <w:rPr>
          <w:sz w:val="20"/>
          <w:szCs w:val="20"/>
          <w:color w:val="auto"/>
        </w:rPr>
      </w:pPr>
    </w:p>
    <w:p>
      <w:pPr>
        <w:ind w:left="660" w:right="3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rules that require us to ensure that our customers residing in the United States have accounts open only with our U.S. registered NFA-member operating entity; and</w:t>
      </w:r>
    </w:p>
    <w:p>
      <w:pPr>
        <w:spacing w:after="0" w:line="51"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rules that essentially require all retail transactions in any commodity product other than a retail foreign currency transaction that is traded on a leveraged basis to be executed on an exchange, rather than OTC.</w:t>
      </w:r>
    </w:p>
    <w:p>
      <w:pPr>
        <w:spacing w:after="0" w:line="7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Certain provisions of the Dodd-Frank Act have yet to be implemented and we will continue to monitor all applicable developments in the ongoing implementation of the Dodd-Frank Act. The legislation and implementing regulations affect not only us, but also our clients and counterparties.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OFAC</w:t>
      </w:r>
    </w:p>
    <w:p>
      <w:pPr>
        <w:spacing w:after="0" w:line="10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U.S. maintains various economic sanctions programs administered by the U.S. Treasury Department’s Office of Foreign Assets Control (“OFAC”). The OFAC administered sanctions take many forms, but generally prohibit or restrict trade and investment in and with sanctions targets, and in some cases require blocking of the target’s assets. Violations of any of the OFAC-administered sanctions are punishable by civil fines, criminal fines, and imprisonment. We believe that we have implemented, and that we maintain, appropriate internal practices, procedures and controls to enable us to comply with applicable OFAC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Patriot Act</w:t>
      </w:r>
    </w:p>
    <w:p>
      <w:pPr>
        <w:spacing w:after="0" w:line="10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We are subject to a variety of statutory and regulatory requirements concerning our relationships with customers and the review and monitoring of their transactions. Specifically, we are subject to the Uniting and Strengthening America by Providing Appropriate Tools Required to Intercept and Obstruct Terrorism Act of 2001 (the “USA PATRIOT Act”), which requires that we maintain a comprehensive anti-money laundering (AML) program, a customer identification program (CIP), designate an AML compliance officer, provide specified employee training and conduct an annual independent audit of our AML program. The USA PATRIOT Act seeks to promote cooperation among financial institutions, regulators and law enforcement entities in identifying parties that may be involved in terrorism or money laundering. Anti-money laundering laws outside of the U.S. contain similar provisions. We believe that we have implemented, and that we maintain, appropriate internal practices, procedures and controls to enable us to comply with the provisions of the USA PATRIOT Act and other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and United Kingdom Regulation</w:t>
      </w:r>
    </w:p>
    <w:p>
      <w:pPr>
        <w:spacing w:after="0" w:line="10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Financial Conduct Authority (“FCA”), the regulator of the financial services industry in the U.K., regulates several of our subsidiaries as Markets in Financial Instruments Directive (“MiFID”) investment firms under part IV of the Financial Services and Markets Act 2000. Applicable regulations impose regulatory capital, as well as conduct of business, governance, and other requirements on these entities. The conduct of business rules include those that govern the handling of client money and other assets which, under certain circumstances must be segregated from the firm’s own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ESMA Intervention Measures</w:t>
      </w:r>
    </w:p>
    <w:p>
      <w:pPr>
        <w:spacing w:after="0" w:line="106"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8"/>
          <w:szCs w:val="18"/>
          <w:color w:val="auto"/>
        </w:rPr>
        <w:t>In March 2018, the European Securities and Markets Authority (“ESMA”) announced product intervention measures to further regulate the marketing, distribution or sale of CFDs to retail investors in the E.U. These measures required firms to lower leverage, implement stricter margin requirements, provide negative balance protection that guarantees that a client cannot lose more than the total funds in their CFD account, stop offering monetary and</w:t>
      </w:r>
    </w:p>
    <w:p>
      <w:pPr>
        <w:ind w:right="80"/>
        <w:spacing w:after="0" w:line="276" w:lineRule="auto"/>
        <w:rPr>
          <w:sz w:val="20"/>
          <w:szCs w:val="20"/>
          <w:color w:val="auto"/>
        </w:rPr>
      </w:pPr>
      <w:r>
        <w:rPr>
          <w:rFonts w:ascii="Times New Roman" w:cs="Times New Roman" w:eastAsia="Times New Roman" w:hAnsi="Times New Roman"/>
          <w:sz w:val="18"/>
          <w:szCs w:val="18"/>
          <w:color w:val="auto"/>
        </w:rPr>
        <w:t>non-monetary inducements to encourage trading and provide a standardized risk warning, which includes the percentage of the firm’s retail client accounts that have lost money.</w:t>
      </w:r>
    </w:p>
    <w:p>
      <w:pPr>
        <w:spacing w:after="0" w:line="46"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In August 2019, the FCA implemented permanent regulations similar to ESMA’s regulations and extended the restrictions to closely substitutable products, including knock-out products and turbo certificates. Since then almost all EU countries have introduced permanent national measures that are similar to the ESMA measures.</w:t>
      </w:r>
    </w:p>
    <w:p>
      <w:pPr>
        <w:spacing w:after="0" w:line="6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FCA has separately adopted rules to ban the sale of CFDs referencing cryptocurrencies to retail consumers, which will become effective in January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Money Rules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FCA’s Client Money rules, under which we are required to:</w:t>
      </w:r>
    </w:p>
    <w:p>
      <w:pPr>
        <w:spacing w:after="0" w:line="11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segregation of client funds;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records in order to identify appropriate client details;</w:t>
      </w:r>
    </w:p>
    <w:p>
      <w:pPr>
        <w:spacing w:after="0" w:line="116"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have adequate organizational arrangements in place to minimize the risk that client money may be paid for by the account of a client whose money has not yet been received by us;</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undertake daily internal and external client money reconciliations within an appropriate risk and control framework;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appoint an individual who is responsible for Client Asset Sourcebook (CASS) oversight.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and Sanctions</w:t>
      </w:r>
    </w:p>
    <w:p>
      <w:pPr>
        <w:spacing w:after="0" w:line="10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in the U.S., we are subject to statutory and regulatory requirements concerning our relationships with customers and the review and monitoring of their transactions. Specifically, we are subject to ongoing customer due diligence (“CDD”) obligations under the Money Laundering Regulations 2017, as</w:t>
      </w: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supplemented and amended, and the FCA Handbook. The prescribed CDD measures require the U.K. Entities to verify customer identity and understand the nature and purpose of the proposed relationship on the basis of documents, data or information obtained from a reliable and independent source; and review and monitor their customer’s transactions and activities.</w:t>
      </w:r>
    </w:p>
    <w:p>
      <w:pPr>
        <w:spacing w:after="0" w:line="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U.K. entities are required to determine the extent of CDD measures required for each customer on a risk-based basis depending on the type of customer, business relationship, product or transaction and we must be able to demonstrate that such measures are appropriate in view of the risks of money laundering and terrorist financing. Our procedures are based on the Joint Money Laundering Steering Group’s Guidance for the U.K. Financial Sector, which provides guidance to firms for the determination of appropriate CDD measures.</w:t>
      </w:r>
    </w:p>
    <w:p>
      <w:pPr>
        <w:spacing w:after="0" w:line="7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7"/>
          <w:szCs w:val="17"/>
          <w:color w:val="auto"/>
        </w:rPr>
        <w:t>The FCA requires our U.K. entities to have systems and controls in place to enable them to identify, assess, monitor and manage money laundering risk. Accordingly, we have implemented appropriate systems and controls which are proportionate to the nature, scale and complexity of our activities. We</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provide relevant training to our employees in relation to money laundering. As required, our Money Laundering Reporting Officer provides regular reports on the operation and effectiveness of these systems and controls, including details of our regular assessments of the adequacy of these systems and controls to ensure their compliance with FCA requirements.</w:t>
      </w:r>
    </w:p>
    <w:p>
      <w:pPr>
        <w:spacing w:after="0" w:line="6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systems and controls also include CDD and other measures to identify where customers and others with whom we transact may be subject to financial sanctions, including measures initiated or adopted by the U.K. Treasury or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EMIR</w:t>
      </w:r>
    </w:p>
    <w:p>
      <w:pPr>
        <w:spacing w:after="0" w:line="106"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8"/>
          <w:szCs w:val="18"/>
          <w:color w:val="auto"/>
        </w:rPr>
        <w:t>The E.U. European Market Infrastructure Regulation (Regulation (EU) 648/2012) (“EMIR”) imposes requirements on entities that enter into any form of derivative contract, and applies directly to firms in the E.U. that trade derivatives and indirectly to non-E.U. firms that trade derivatives with E.U. firms. Accordingly, under these rules, we are required to:</w:t>
      </w:r>
    </w:p>
    <w:p>
      <w:pPr>
        <w:spacing w:after="0" w:line="44" w:lineRule="exact"/>
        <w:rPr>
          <w:sz w:val="20"/>
          <w:szCs w:val="20"/>
          <w:color w:val="auto"/>
        </w:rPr>
      </w:pPr>
    </w:p>
    <w:p>
      <w:pPr>
        <w:ind w:left="660" w:right="14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report all derivative contracts and their lifecycle events (concluded, modified and terminated) to which we are a party to a trade repository either by ourselves or through a third party;</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keep all records relating to concluding of derivative contracts and any subsequent modification for 5 years;</w:t>
      </w:r>
    </w:p>
    <w:p>
      <w:pPr>
        <w:spacing w:after="0" w:line="62" w:lineRule="exact"/>
        <w:rPr>
          <w:rFonts w:ascii="Arial" w:cs="Arial" w:eastAsia="Arial" w:hAnsi="Arial"/>
          <w:sz w:val="22"/>
          <w:szCs w:val="22"/>
          <w:color w:val="auto"/>
        </w:rPr>
      </w:pPr>
    </w:p>
    <w:p>
      <w:pPr>
        <w:ind w:left="660" w:right="2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the risk management requirements for OTC bilateral derivatives, including portfolio reconciliation, portfolio compression, record keeping, dispute resolution and margining; and</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clear through central counterparties all OTC derivatives which will be subject to the mandatory clearing obligation.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pacing w:after="0" w:line="1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Where firms offer “execution only” services for certain financial instruments which are deemed “complex”, E.U. Markets in Financial Instruments Directive (Directive 2004/39/EC) (“MiFID I”) required firms to assess the appropriateness of those investments for retail clients. For this assessment, we are required to collect information about our existing and potential clients’ knowledge and experience with regard to specific products and services, including:</w:t>
      </w:r>
    </w:p>
    <w:p>
      <w:pPr>
        <w:spacing w:after="0" w:line="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types of services, transactions and financial instruments with which the retail client is familiar;</w:t>
      </w:r>
    </w:p>
    <w:p>
      <w:pPr>
        <w:spacing w:after="0" w:line="62"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nature, volume, and frequency of the retail client’s transactions in financial instruments and the period over which they have been carried out; and</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of education, and profession or relevant former profession of the retail client or potential retail client.</w:t>
      </w:r>
    </w:p>
    <w:p>
      <w:pPr>
        <w:spacing w:after="0" w:line="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are required to offer to a retail client or transact for them only those products that are deemed appropriate for their knowledge, experience and other circumstances. If the retail client demands a product that has been assessed as inappropriate for the retail client’s circumstances by us, we may either refuse to offer the product to the client or allow them access to the product but we are required to give the retail client a warning that the product may be inappropriate to its circumstances. We are not required to undertake this analysis for professional clients as we are entitled to assume that a professional client has the necessary knowledge and experience in order to understand the risks involved in relation to the particular products or services for which they have been classified as a professional client.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MiFID I applied in the U.K. from November 2007 and was recast into the Markets in Financial Instruments Directive II (Directive 2014/65/EU) (“MiFID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 January 2018. In addition to the requirements described above, MiFID II:</w:t>
      </w:r>
    </w:p>
    <w:p>
      <w:pPr>
        <w:spacing w:after="0" w:line="112" w:lineRule="exact"/>
        <w:rPr>
          <w:sz w:val="20"/>
          <w:szCs w:val="20"/>
          <w:color w:val="auto"/>
        </w:rPr>
      </w:pPr>
    </w:p>
    <w:p>
      <w:pPr>
        <w:ind w:left="660" w:right="6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number of financial instruments for which firms are required to carry out an appropriateness assessment before providing an execution only service to retail clients;</w:t>
      </w:r>
    </w:p>
    <w:p>
      <w:pPr>
        <w:spacing w:after="0" w:line="54"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pre- and post-trade transparency regime to derivatives traded on regulated markets, multi-lateral trading facilities (“MTFs”), and organized trading facilities (“OTFs”);</w:t>
      </w:r>
    </w:p>
    <w:p>
      <w:pPr>
        <w:spacing w:after="0" w:line="54"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transaction reporting to those financial instruments traded on MTFs, OTFs, and those financial instruments where the underlying instrument is traded on a Trading Venue; and</w:t>
      </w:r>
    </w:p>
    <w:p>
      <w:pPr>
        <w:spacing w:after="0" w:line="54" w:lineRule="exact"/>
        <w:rPr>
          <w:rFonts w:ascii="Times New Roman" w:cs="Times New Roman" w:eastAsia="Times New Roman" w:hAnsi="Times New Roman"/>
          <w:sz w:val="18"/>
          <w:szCs w:val="18"/>
          <w:color w:val="auto"/>
        </w:rPr>
      </w:pPr>
    </w:p>
    <w:p>
      <w:pPr>
        <w:ind w:left="660" w:right="20" w:hanging="328"/>
        <w:spacing w:after="0" w:line="24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E.U. Member State regulators the new power to ban or restrict the marketing, distribution or sale of a financial instrument or types of financial practice where there is a threat to investor protection, the orderly functioning and integrity of markets or to financial stability. The European Banking Authority and the European Securities and Markets Authority have similar powers to impose a ban on an E.U.-wide basis or in relation to a particular E.U. Member State.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Packaged Retail and Insurance-based Investment Products</w:t>
      </w:r>
    </w:p>
    <w:p>
      <w:pPr>
        <w:spacing w:after="0" w:line="1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Regulation 1286/486 on key information documents for packaged retail and insurance-based investment products (“PRIIPs Regulation”), took effect in the U.K. from January 1, 2018. Our U.K. entities are required to comply with the PRIIPs Regulation in relation to packaged retail and insurance-based investment products (“PRIIPs”) that they manufacture, advise on or sell to retail clients. The FCA regards derivatives (including options, futures, and contracts for differences) as falling within the definition of a PRIIP. The new regime requires us to provide retail clients with a standardized key information document (“KID”) in good time before any transaction in derivatives is concluded or for transactions concluded by distance communications, after the transaction has taken place, but only if it is not possible to provide the KID in advance and the client consents.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Services Regulations 2017</w:t>
      </w:r>
    </w:p>
    <w:p>
      <w:pPr>
        <w:spacing w:after="0" w:line="10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Payments Services Regulations 2017 (“PSRs”) implemented the second Payments Services Directive (“PSD II”) in the U.K. The most significant development contained in the PSD II is the requirement for payment services firms to introduce strong customer authentication (“SCA”) on the payment platforms. Firms providing business via e-commerce methods have until September 2021 to fully implement SCA on their platforms.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10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U.K. left the E.U. in January 2020 pursuant to a Withdrawal Agreement. It has entered into a transition period which is due to operate until December 31, 2020. At the end of the transition period, British investment and payment firms will lose the right to conduct business within European Economic Area (“E.E.A”) states based on their ‘home’ state authorization. Without appropriate authorization, British firms will largely be restricted to providing business to clients that are domiciled in the EEA on a ‘reverse solicitation’ basis. Furthermore, British investment firms will lose certain rights with respect to access to, or providing their clients with a connection to, certain infrastructural assets that are necessary for the provision of certain services. Examples include the provision of direct electronic access to trading venues authorized in the E.U. and the maintenance of a Target 2 bank account to make or receive margin payments to central counterparties authorized in the E.U.</w:t>
      </w:r>
    </w:p>
    <w:p>
      <w:pPr>
        <w:spacing w:after="0" w:line="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StoneX Financial Ltd has put in place a comprehensive Brexit contingency plan to mitigate the risks associated with Brexit. This includes the transfer of assets, services and clients to StoneX Financial Ltd’s subsidiary (StoneX Financial Germany GmbH) and sister company (StoneX Financial Europe S.A). However, StoneX Financial Ltd anticipates challenges associated with the timing of StoneX Financial Europe S.A. obtaining access to a Target 2 account to continue clearing the StoneX group’s Euronext business through LCH S.A. This may necessitate that StoneX Financial Ltd and StoneX Financial Inc. route this business through another clearing member of LCH S.A. on an indirect clearing basis.</w:t>
      </w:r>
    </w:p>
    <w:p>
      <w:pPr>
        <w:spacing w:after="0" w:line="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Similarly, GAIN Capital UK Limited has adopted a contingency plan to mitigate the risks associated with Brexit. This includes GAIN Capital UK Limited’s affiliate company, GAIN Capital Europe Limited, applying for a financial services license in Cyprus to enable the GAIN Capital group to expand its business in the EEA and continue benefiting from MiFID passporting rights after the end of the Brexit transition period on 31 December 2020. The license application is currently under consideration by the Cyprus Securities and Exchange Commission.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Investment Firm Prudential Regime</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U.K. is due to implement a new prudential regime that will replace the existing Capital Requirements Regulation (“CRR”) and fourth Capital Requirements Directive (“CRD IV”) in January 2022. The U.K. Investment Firm Prudential Regime (“IFPR”) is intended to introduce a more proportionate regime for non-systemic investment firms, which are currently regulated under rules designed for banks. StoneX Financial Ltd is not currently expecting that the IFPR will require significant changes to be made to its prudential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Conflict Minerals Regulation</w:t>
      </w:r>
    </w:p>
    <w:p>
      <w:pPr>
        <w:spacing w:after="0" w:line="10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E.U. Conflict Minerals Regulation (“CMR”) is due to enter into force in January 2021. The U.K. is due to adopt the CMR as it entered the U.K. statute book before the expiry the Brexit transition period. The CMR requires importers to conduct due diligence on their gold, tantalum, tin, and tungsten supply chains to identify minerals that may have originated from conflict zones. The new requirements are largely based on existing guidance issued by the Organisation for Cooperation and Development (OECD) which StoneX Financial Ltd has already been applying. Accordingly, a major overhaul of StoneX Financial Limited’s processes are not anticipated. However, the firm has made some amendments to its policies and procedures in anticipation of the regulation.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 Regulation</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operating subsidiaries in jurisdictions outside of the U.S. U.K. and E.U. are registered with, or obtained a license from, local regulatory bodies that seek to protect clients by imposing requirements relating to capital adequacy and other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Memberships</w:t>
      </w:r>
    </w:p>
    <w:p>
      <w:pPr>
        <w:spacing w:after="0" w:line="108"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Through our various operating subsidiaries, we are member of a number of exchanges, including the Chicago Mercantile Exchange, the Chicago Board of Trade, the New York Mercantile Exchange, COMEX, InterContinental Exchange, Inc., the New Zealand Exchange, the Minneapolis Grain Exchange, the London Metal Exchange, ICE Europe Ltd, Euronext Amsterdam, Euronext Paris, European Energy Exchange, Norexco ASA, the Rosario Futures Exchange and the Singapore Exchange. These exchanges impose their own requirements on a variety of matters, in some cases addressing capital adequacy, protection of client assets, record-keeping and reporting.</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Failure to comply with our exchange membership requirements could result in a variety of consequence, including, but not limited to fines and revocation of memberships, which would limit on our ability to carry on our business with these exchanges.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success is determined in large part by the quality and dedication of our people and by the empowerment of our employees to serve and engage our clients globally. At the direction of our Executive Committee and in furtherance of our strategies as a whole, our worldwide human resources officers are responsible for developing and executing our human capital strategy. This includes the attraction, acquisition, development and engagement of talent to deliver on our strategy and the design of employee compensation, incentive, welfare and benefits programs. We focus on the following factors in order to implement and develop our human capital strategy:</w:t>
      </w:r>
    </w:p>
    <w:p>
      <w:pPr>
        <w:spacing w:after="0" w:line="7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Incentives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Employee Performance, Training and Talent Development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and Welfare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Inclusion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Incentives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Ensuring that our employees are well-compensated and have the appropriate incentives in place to meet and exceed their potential is a central part of our human capital strategy. Our entrepreneurial culture ties pay to performance in a variety of ways, including incentive compensation, merit-based bonus programs and variable compensation. We also encourage our employees to acquire an ownership stake in our business by sponsoring stock option and restricted stock plans for directors, officers and employees. Furthermore, our Nominating &amp; Governance Committee imposes requirements that our directors and executive officers maintain a financial interest in our stock by owning vested Company stock, fostering an additional sense of ownership and alignment of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Employee Performance, Training and Talent Development</w:t>
      </w:r>
    </w:p>
    <w:p>
      <w:pPr>
        <w:spacing w:after="0" w:line="1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commit to our employees by encouraging their growth and professional development through performance management, training and talent development, including:</w:t>
      </w:r>
    </w:p>
    <w:p>
      <w:pPr>
        <w:spacing w:after="0" w:line="52" w:lineRule="exact"/>
        <w:rPr>
          <w:sz w:val="20"/>
          <w:szCs w:val="20"/>
          <w:color w:val="auto"/>
        </w:rPr>
      </w:pPr>
    </w:p>
    <w:p>
      <w:pPr>
        <w:ind w:left="660" w:right="180" w:hanging="4"/>
        <w:spacing w:after="0" w:line="261" w:lineRule="auto"/>
        <w:tabs>
          <w:tab w:leader="none" w:pos="13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evaluations</w:t>
      </w:r>
      <w:r>
        <w:rPr>
          <w:rFonts w:ascii="Times New Roman" w:cs="Times New Roman" w:eastAsia="Times New Roman" w:hAnsi="Times New Roman"/>
          <w:sz w:val="18"/>
          <w:szCs w:val="18"/>
          <w:color w:val="auto"/>
        </w:rPr>
        <w:t>. Employee performance is evaluated annually through written self-assessments which are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with supervisors and managers. Employee performance is assessed based on a variety of key performance indicators, including achievement of objectives specific to the employee’s department or role, feedback from peers and subordinate employees and managers in other departments and an assessment conducted by the employee’s direct manager.</w:t>
      </w:r>
    </w:p>
    <w:p>
      <w:pPr>
        <w:spacing w:after="0" w:line="71" w:lineRule="exact"/>
        <w:rPr>
          <w:rFonts w:ascii="Times New Roman" w:cs="Times New Roman" w:eastAsia="Times New Roman" w:hAnsi="Times New Roman"/>
          <w:sz w:val="18"/>
          <w:szCs w:val="18"/>
          <w:color w:val="auto"/>
        </w:rPr>
      </w:pPr>
    </w:p>
    <w:p>
      <w:pPr>
        <w:ind w:left="660" w:right="120" w:hanging="4"/>
        <w:spacing w:after="0" w:line="284" w:lineRule="auto"/>
        <w:tabs>
          <w:tab w:leader="none" w:pos="13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Unit Trainin</w:t>
      </w:r>
      <w:r>
        <w:rPr>
          <w:rFonts w:ascii="Times New Roman" w:cs="Times New Roman" w:eastAsia="Times New Roman" w:hAnsi="Times New Roman"/>
          <w:sz w:val="18"/>
          <w:szCs w:val="18"/>
          <w:color w:val="auto"/>
        </w:rPr>
        <w:t>g. Business units provide hands-on training to their employees to equip them for success in their roles and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opportunities to develop their careers.</w:t>
      </w:r>
    </w:p>
    <w:p>
      <w:pPr>
        <w:spacing w:after="0" w:line="50" w:lineRule="exact"/>
        <w:rPr>
          <w:rFonts w:ascii="Times New Roman" w:cs="Times New Roman" w:eastAsia="Times New Roman" w:hAnsi="Times New Roman"/>
          <w:sz w:val="18"/>
          <w:szCs w:val="18"/>
          <w:color w:val="auto"/>
        </w:rPr>
      </w:pPr>
    </w:p>
    <w:p>
      <w:pPr>
        <w:ind w:left="660" w:right="60" w:hanging="4"/>
        <w:spacing w:after="0" w:line="284" w:lineRule="auto"/>
        <w:tabs>
          <w:tab w:leader="none" w:pos="13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Manager Training</w:t>
      </w:r>
      <w:r>
        <w:rPr>
          <w:rFonts w:ascii="Times New Roman" w:cs="Times New Roman" w:eastAsia="Times New Roman" w:hAnsi="Times New Roman"/>
          <w:sz w:val="18"/>
          <w:szCs w:val="18"/>
          <w:color w:val="auto"/>
        </w:rPr>
        <w:t>. Management training is provided to senior leaders and mid-level managers. This training covers, among other topics,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talent review, development of underperforming employees, handling employee misconduct and coaching and success workshops.</w:t>
      </w:r>
    </w:p>
    <w:p>
      <w:pPr>
        <w:spacing w:after="0" w:line="50" w:lineRule="exact"/>
        <w:rPr>
          <w:rFonts w:ascii="Times New Roman" w:cs="Times New Roman" w:eastAsia="Times New Roman" w:hAnsi="Times New Roman"/>
          <w:sz w:val="18"/>
          <w:szCs w:val="18"/>
          <w:color w:val="auto"/>
        </w:rPr>
      </w:pPr>
    </w:p>
    <w:p>
      <w:pPr>
        <w:ind w:left="660" w:right="100" w:hanging="4"/>
        <w:spacing w:after="0" w:line="267" w:lineRule="auto"/>
        <w:tabs>
          <w:tab w:leader="none" w:pos="13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Know-Your-Business Programs</w:t>
      </w:r>
      <w:r>
        <w:rPr>
          <w:rFonts w:ascii="Times New Roman" w:cs="Times New Roman" w:eastAsia="Times New Roman" w:hAnsi="Times New Roman"/>
          <w:sz w:val="18"/>
          <w:szCs w:val="18"/>
          <w:color w:val="auto"/>
        </w:rPr>
        <w:t>. We make available to employees a monthly “Know-Your-Business” program led by senior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CEO, to provide our employees with the opportunity to learn about our diverse product and service offerings, as well as familiarize themselves with the various operational and administrative support areas.</w:t>
      </w:r>
    </w:p>
    <w:p>
      <w:pPr>
        <w:spacing w:after="0" w:line="65" w:lineRule="exact"/>
        <w:rPr>
          <w:rFonts w:ascii="Times New Roman" w:cs="Times New Roman" w:eastAsia="Times New Roman" w:hAnsi="Times New Roman"/>
          <w:sz w:val="18"/>
          <w:szCs w:val="18"/>
          <w:color w:val="auto"/>
        </w:rPr>
      </w:pPr>
    </w:p>
    <w:p>
      <w:pPr>
        <w:ind w:left="660" w:right="140" w:hanging="4"/>
        <w:spacing w:after="0" w:line="315" w:lineRule="auto"/>
        <w:tabs>
          <w:tab w:leader="none" w:pos="130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Virtual Networking and Mentoring Programs</w:t>
      </w:r>
      <w:r>
        <w:rPr>
          <w:rFonts w:ascii="Times New Roman" w:cs="Times New Roman" w:eastAsia="Times New Roman" w:hAnsi="Times New Roman"/>
          <w:sz w:val="17"/>
          <w:szCs w:val="17"/>
          <w:color w:val="auto"/>
        </w:rPr>
        <w:t>. We have established virtual networking and mentoring programs to provide an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for employees to connect with each other, learn about different parts of our business and to help each other further develop their careers.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Welfare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doing our part to maintain the health and welfare of our employees is a critical element for achieving commercial success. As such, we provide our employees with comprehensive health benefits and offer a wellness program which focuses on employee health strategies and includes a discount to employee medical premiums for the completion of wellness initiatives. We have taken a proactive approach to addressing the Covid-19 pandemic’s impact on our employees, implementing a mitigation and response program, which includes a Covid-19 Response Task Force, in order to protect the health of our employees, encouraging and in some instances requiring working from home, and balancing these steps with a carefully considered return to office policy that complies with local guidelines for each of our offices. We promote a culture of hard work and achievement that also strives to provide an appropriate work-life balance for our employees. We conduct employee surveys from time-to-time to collect feedback and incorporate into our planning. In addition, we offer employee assistance programs, including confidential assistance for financial, mental and physical well-being. Finally, we believe that the well-being of our employees is enhanced when they can give back to their local communities or charities and have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established the “StoneX Cares” program to facilitate participation by our employees in these initiatives and provide a company match for charitable contributions.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are more successful commercially with a diverse employee population and encourage hiring and promotion practices that focus on the best talent and the most effective performers, regardless of gender, national origin, ethnicity or other protected class. We have adopted an Affinity Group Policy which provides a framework for groups of employees to interact over areas of common interest, an example being the Women of StoneX program which focuses on supporting and developing our female employees. In addition, our Board includes two female directors and our Nominating and Governance Committee is actively focused on issues of diversity and inclusion as part of its overall mandate. Because we operate a global business across multiple business segments, products and service areas, we believe it is especially important that we attract employees with diverse backgrounds and the capability to address client needs across the numerous cultures in the countries in which we operate.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operate in a number of foreign jurisdictions, including Canada, Ireland, the United Kingdom, Luxembourg, Germany, Spain, Argentina, Brazil, Colombia, Uruguay, Paraguay, Mexico, Nigeria, Dubai, China, India, Hong Kong, Australia, Singapore, Japan, Cayman Islands, Bermuda and Poland. We established wholly owned subsidiaries in the Cayman Islands and Bermuda but do not have offices or employees in those countries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unfair competition laws in the United States and other jurisdictions to protect our proprietary technology, intellectual property rights and our brands (e.g., StoneX, IRMP, FOREX.com, GAIN Capital, and City Index). We also enter into confidentiality and invention assignment agreements with our employees and consultants, and confidentiality agreements with other third parties. We rigorously control access to our proprietary technology. Currently, we do not have any pending or issued patents.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use a variety of service marks that have been registered with the U.S. Patent and Trademark Office, including: StoneX, IRMP, FCStone, FC Stone, CommodityNetwork, CoffeeNetwork, GAIN Capital, FOREX.com, It’s Your World. Trade It., GAIN Capital Futures, and GAIN Futures. We also have registered trademarks covering our City Index brand name and logo in a variety of jurisdictions, including Australia, the U.K., European Union ("E.U."), Singapore and China. We also have pursued trademark protection through the Madrid Protocol covering our StoneX brand name in a variety of jurisdictions. To date, we have received preliminary approvals in Australia, the U.K., the E.U. and Singapore, and are awaiting approvals from other jurisdictions.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Risks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seek to mitigate the market and credit risks arising from our financial trading activities through an active risk management program. The principal objective of this program is to limit trading risk to an acceptable level while maximizing the return generated on the risk assumed.</w:t>
      </w:r>
    </w:p>
    <w:p>
      <w:pPr>
        <w:spacing w:after="0" w:line="5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have a defined risk policy administered by our risk management committee, which reports to the risk committee of our board of directors. We established specific exposure limits for inventory positions in every business, as well as specific issuer limits and counterparty limits. We designed these limits to ensure that in a situation of unexpectedly large or rapid movements or disruptions in one or more markets, systemic financial distress, and the failure of a counterparty or the default of an issuer, the potential estimated loss will remain within acceptable levels. The risk committee of our board of directors reviews the performance of the risk management committee on a quarterly basis to monitor compliance with the established risk policy.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a variety of risks that could adversely impact our financial condition and results of operations,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Risks</w:t>
      </w:r>
    </w:p>
    <w:p>
      <w:pPr>
        <w:spacing w:after="0" w:line="11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achieve consistent profitability is subject to uncertainty due to the nature of our businesses and the markets in which we operate.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and operating results may fluctuate significantly because of the following factors: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such as price levels and volatility in the commodities, securities and foreign exchange markets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our market-making and trading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financial instruments, currency and commodities positions and our ability to manage related risks; and</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volatility of interest rates.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continue our efforts to diversify the sources of our revenues, it is likely that our revenues and operating results will continue to fluctuate substantially in the future and such fluctuations could result in losses. These losses could have a material adverse effect on our business, financial condition and operating results.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net operating revenues may decrease due to changes in client trading volumes which are dependent in large part on commodity prices and commodity price volatility. </w:t>
      </w:r>
      <w:r>
        <w:rPr>
          <w:rFonts w:ascii="Times New Roman" w:cs="Times New Roman" w:eastAsia="Times New Roman" w:hAnsi="Times New Roman"/>
          <w:sz w:val="18"/>
          <w:szCs w:val="18"/>
          <w:color w:val="auto"/>
        </w:rPr>
        <w:t>Client trading volumes are largely driven by the degree of volatility—the magnitude and frequency of fluctuations—in prices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commodities. Higher volatility increases the need to hedge contractual price risk and creates opportunities for arbitrage trading. Energy and agricultural commodities markets periodically experience significant price volatility. In addition to price volatility, increases in commodity prices generally lead to increased trading volume. As prices of commodities rise, especially energy prices, new participants enter the markets to address their growing risk-management needs or to take advantage of greater trading opportunities. Sustained periods of stability in the prices of commodities or generally lower prices could result in lower trading volumes and, potentially, lower revenues. Lower volatility and lower volumes could lead to lower client balances held on deposit, which in turn may reduce the amount of interest revenue and account fees based on these deposits.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Factors that are particularly likely to affect price volatility and price levels of commodities include supply and demand of commodities, weather conditions affecting certain commodities, national and international economic and political conditions, perceived stability of commodities and financial markets, the level and volatility of interest rates and inflation and financial strength of market participants.</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 short-term interest rates negatively impact our profitability. </w:t>
      </w:r>
      <w:r>
        <w:rPr>
          <w:rFonts w:ascii="Times New Roman" w:cs="Times New Roman" w:eastAsia="Times New Roman" w:hAnsi="Times New Roman"/>
          <w:sz w:val="18"/>
          <w:szCs w:val="18"/>
          <w:color w:val="auto"/>
        </w:rPr>
        <w:t>We have generated significant interest-related revenue in prior periods and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lowering of short-term interest rates will materially adversely affect our future profitability. For example, for the fiscal year ended on September 30, 2020, our interest related income was $130.9 million and we expect our interest-related revenue to be materially lower in the current and future years unless market interest rates increase significantly.</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Short-term interest rates are highly sensitive to factors that are beyond our control and we can provide no assurance as to when short-term interest rates will increase.</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COVID-19 pandemic could have a material adverse effect on our business. </w:t>
      </w:r>
      <w:r>
        <w:rPr>
          <w:rFonts w:ascii="Times New Roman" w:cs="Times New Roman" w:eastAsia="Times New Roman" w:hAnsi="Times New Roman"/>
          <w:sz w:val="18"/>
          <w:szCs w:val="18"/>
          <w:color w:val="auto"/>
        </w:rPr>
        <w:t>The COVID-19 pandemic has created significant volatility, uncertainty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economic disruption and while increased volatility is typically a driver of increased customer activity and growth in our operating revenues, longer periods of extreme volatility and dislocation in global securities, foreign exchange and commodity markets may affect our ability to establish effective offsetting positions in our principal trading and market-making activities which may expose us to trading losses. In addition, in the event that the COVID-19 pandemic results in a global recession or slowdown, extended periods of low short term interest rates and volatility could affect our profitability. We also may be exposed to increased counterparty default risk, liquidity and credit risk with respect to our client accounts; if our clients experience losses in excess of the funds they have deposited with us, we may not be able to recover the negative client equity from our clients. We may nonetheless be required to fund positions with counterparties which case, we may be required to incur charges. If any of these risks materialize, we may experience adverse consequences to our operating results or ability to conduct our business.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financial condition, liquidity or results of operations will depend on future developments, which are uncertain and cannot be predicted, including the scope and duration of the COVID-19 pandemic, the length of time government commercial and travel limitations are in place, the effectiveness of our work from home arrangements, the successful execution of plans in connection with our eventual return to our offices, actions taken by governmental authorities in response to the pandemic, as well as other direct and indirect impacts on us, our customers, our vendors and other stakeholders. To the extent the COVID-19 pandemic adversely affects our business, financial condition, liquidity or results of operations, it may also have the effect of heightening many of the other risks described herein and in any subsequent Quarterly Reports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1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associated with our market-making and trading activities. </w:t>
      </w:r>
      <w:r>
        <w:rPr>
          <w:rFonts w:ascii="Times New Roman" w:cs="Times New Roman" w:eastAsia="Times New Roman" w:hAnsi="Times New Roman"/>
          <w:sz w:val="18"/>
          <w:szCs w:val="18"/>
          <w:color w:val="auto"/>
        </w:rPr>
        <w:t>A significant portion of our operating revenues are generated through our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and trading activities. The success of our market-making and trading activities principally depends 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of specific financial instruments, currencies and commodities;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order flow and our competitiveness;</w:t>
      </w:r>
    </w:p>
    <w:p>
      <w:pPr>
        <w:spacing w:after="0" w:line="63"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 of our personnel, including the efficiency of our order execution, quality of our client service and the sophistication of our trading technology;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in order to provide enhanced liquidity to our clients;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and therefore hold positions that bear the risk of significant price fluctuations, rapid changes in the liquidity of markets, deterioration in the creditworthiness of our counterparties and other risks that may cause the value of our positions to decline, which would lead to lower operating revenues.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as a market maker, while we seek to hedge our exposure to market risk relating to the positions we hold, at any given moment, our unhedged exposure subjects us to market risk, including the risk of significant losses. Principal gains and losses resulting from our positions could on occasion have a disproportionate effect, positive or negative, on our financial condition and results of operations for any particular reporting period. These risks are increased when we have large position concentrations in securities of a single issuer or issuers in specific countries and markets, which is the case from time-to-time.</w:t>
      </w:r>
    </w:p>
    <w:p>
      <w:pPr>
        <w:spacing w:after="0" w:line="6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Declines in the volume of securities, commodities and derivative transactions and in market liquidity generally may result in lower revenues from market-making and trading activities. Changes in price levels of securities and commodities and other assets, and interest and foreign exchange rates also may result in reduced trading activity and reduce our revenues from market-making transactions. Changed price levels also can result in losses from changes in the fair value of securities, commodities and other assets held in inventory. Sudden sharp changes in fair values of securities, commodities and other assets can result in a number of adverse conditions for our business, including illiquid markets, fair value losses arising from positions held by us, and the failure of buyers and sellers of securities, commodities and other assets to fulfill their settlement obligations. Any change in market volume, price or liquidity or any other of these factors could have a material adverse effect on our business, financial condition and operating results.</w:t>
      </w:r>
    </w:p>
    <w:p>
      <w:pPr>
        <w:spacing w:after="0" w:line="7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as a principal in the OTC derivatives markets which involves the risks associated with commodity derivative instruments. </w:t>
      </w:r>
      <w:r>
        <w:rPr>
          <w:rFonts w:ascii="Times New Roman" w:cs="Times New Roman" w:eastAsia="Times New Roman" w:hAnsi="Times New Roman"/>
          <w:sz w:val="18"/>
          <w:szCs w:val="18"/>
          <w:color w:val="auto"/>
        </w:rPr>
        <w:t>We offer OTC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to our clients in which we act as a principal counterparty. We endeavor to simultaneously offset the underlying risk of the instruments, such as commodity price risk, by establishing corresponding offsetting positions with commodity counterparties, or alternatively we may offset those transactions with similar but not identical positions on an exchange. To the extent that we are unable to simultaneously offset an open position or the offsetting transaction is not effective to fully eliminate the derivative risk, we have market risk exposure on these unmatched transactions. Our exposure varies based on the size of the overall positions, the terms and liquidity of the instruments brokered, and the amount of time the positions remain open.</w:t>
      </w:r>
    </w:p>
    <w:p>
      <w:pPr>
        <w:spacing w:after="0" w:line="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an unhedged position is not disposed of intra-day, adverse movements in the reference assets or rates underlying these positions or a downturn or disruption in the markets for these positions could result in a substantial loss. In addition, any principal gains and losses resulting from these positions could on occasion have a disproportionate effect, positive or negative, on our financial condition and results of operations for any particular reporting period.</w:t>
      </w:r>
    </w:p>
    <w:p>
      <w:pPr>
        <w:spacing w:after="0" w:line="7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Transactions involving OTC derivative contracts may be adversely affected by fluctuations in the level, volatility, correlation or relationship between market prices, rates, indices and/or other factors. These types of instruments may also suffer from illiquidity in the market or in a related market.</w:t>
      </w:r>
    </w:p>
    <w:p>
      <w:pPr>
        <w:spacing w:after="0" w:line="2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OTC derivative transactions are subject to unique risks. </w:t>
      </w:r>
      <w:r>
        <w:rPr>
          <w:rFonts w:ascii="Times New Roman" w:cs="Times New Roman" w:eastAsia="Times New Roman" w:hAnsi="Times New Roman"/>
          <w:sz w:val="18"/>
          <w:szCs w:val="18"/>
          <w:color w:val="auto"/>
        </w:rPr>
        <w:t>OTC derivative transactions are subject to the risk that, as a result of mismatches or delays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timing of cash flows due from or to counterparties in OTC derivative transactions or related hedging, trading, collateral or other transactions, we or our counterparty may not have adequate cash available to fund our or its current obligations.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could incur material losses pursuant to OTC derivative transactions because of inadequacies in or failures of our internal systems and controls for monitoring and quantifying the risk and contractual obligations associated with OTC derivative transactions and related transactions or for detecting human error, systems failure or management failure.</w:t>
      </w:r>
    </w:p>
    <w:p>
      <w:pPr>
        <w:spacing w:after="0" w:line="6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OTC derivative transactions may generally only be modified or terminated only by mutual consent of the parties to any such transaction (other than in certain limited default and other specified situations (e.g., market disruption events)) and subject to agreement on individually negotiated terms. Accordingly, it may not be possible to modify, terminate or offset obligations or exposure to the risk associated with a transaction prior to its scheduled termination date.</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we note that as a result of rules recently adopted by U.S. and foreign regulators concerning certain financial contracts (including OTC derivatives) entered into with our counterparties that have been designated as global systemically important banking organizations, we may be restricted in our ability to terminate such contracts following the occurrence of certain insolvency-related default events. In the U.S., the rules have been progressively implemented between January 1, 2019 and January 1, 2020. We have modified our affected contracts in accordance with these new regulations as requested by impacted counterparties either through bilateral negotiation or adherence to certain “Resolution Stay Protocols” developed by the International Swaps and Derivatives Association.</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margin funding requirements on short notice. </w:t>
      </w:r>
      <w:r>
        <w:rPr>
          <w:rFonts w:ascii="Times New Roman" w:cs="Times New Roman" w:eastAsia="Times New Roman" w:hAnsi="Times New Roman"/>
          <w:sz w:val="18"/>
          <w:szCs w:val="18"/>
          <w:color w:val="auto"/>
        </w:rPr>
        <w:t>Our business involves establishment and carrying of substantial open positions for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futures exchanges and in the OTC derivatives markets. We are required to post 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maintain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maintain borrowing facilities for the purpose of funding margin and credit support and have systems to endeavor to collect margin and other deposits from clients on a same-day basis; however, there can be no assurance that these facilities and systems will be adequate to eliminate the risk of margin calls in the event of severe adverse price movements affecting open positions of our clients. Generally, if a client is unable to meet its margin call, we promptly liquidate the client’s account. However, there can be no assurance that in each case the liquidation of the account will not result in a loss to us or that liquidation will be feasible, given market conditions, size of the account and tenor of the positions.</w:t>
      </w:r>
    </w:p>
    <w:p>
      <w:pPr>
        <w:spacing w:after="0" w:line="7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counterparty credit risk whereby the failure by persons with whom we do business to meet their financial obligations could adversely affect our business, financial condition and results of operations. </w:t>
      </w:r>
      <w:r>
        <w:rPr>
          <w:rFonts w:ascii="Times New Roman" w:cs="Times New Roman" w:eastAsia="Times New Roman" w:hAnsi="Times New Roman"/>
          <w:sz w:val="18"/>
          <w:szCs w:val="18"/>
          <w:color w:val="auto"/>
        </w:rPr>
        <w:t>We are exposed to the risk that our counterparties fail to meet their obligations to us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other parties, resulting in significant financial loss to us. These risks include:</w:t>
      </w:r>
    </w:p>
    <w:p>
      <w:pPr>
        <w:spacing w:after="0" w:line="1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and counterparties to fulfill contractual obligations and honor commitments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clients to deposit additional collateral for their margin loans during periods of significant price declines;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to meet their margin obligations;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hedge counterparties to meet their obligations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clearing brokers and banks to adequately discharge their obligations on a timely basis or remain solvent;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clearing members in the clearing houses in the U.S. and abroad of which we are members which could cause us to absorb shortfalls pro rata with other clearing members.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listed events could materially affect our business, financial condition and results of operations.</w:t>
      </w:r>
    </w:p>
    <w:p>
      <w:pPr>
        <w:spacing w:after="0" w:line="11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 of default by financial institutions that hold our funds and our customers’ funds. </w:t>
      </w:r>
      <w:r>
        <w:rPr>
          <w:rFonts w:ascii="Times New Roman" w:cs="Times New Roman" w:eastAsia="Times New Roman" w:hAnsi="Times New Roman"/>
          <w:sz w:val="18"/>
          <w:szCs w:val="18"/>
          <w:color w:val="auto"/>
        </w:rPr>
        <w:t>We have significant deposits of our own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our customers' funds with banks and other financial institutions, including liquidity providers. In the event of the insolvency of one of these financial institutions, we might not be able to fully recover the assets we have deposited since, in certain cases, we will be among the institution’s unsecured creditors. As a result, our business could be materially adversely affected by the loss of these funds.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relationships with introducing brokers for obtaining some of our clients and our business or reputation could be harmed by such introducing broker misconduct or errors. </w:t>
      </w:r>
      <w:r>
        <w:rPr>
          <w:rFonts w:ascii="Times New Roman" w:cs="Times New Roman" w:eastAsia="Times New Roman" w:hAnsi="Times New Roman"/>
          <w:sz w:val="18"/>
          <w:szCs w:val="18"/>
          <w:color w:val="auto"/>
        </w:rPr>
        <w:t>We have relationships with introducing brokers who assist us in establishing new client relationships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marketing and client service functions for some of our clients. Many of our relationships with introducing brokers are non-exclusive or may be canceled on relatively short notice. In addition, our introducing brokers have no obligation to provide new client relationships or minimum levels of transaction volume. To the extent any of our competitors offers more attractive compensation terms to one or more of our introducing brokers, we could lose the brokers’ services or be required to increase the compensation we pay to retain the brokers. Further, we may agree to set the compensation for one or more introducing brokers at a level where, based on the transaction volume generated by customers directed to us by such brokers, it would have been more economically attractive to seek to acquire the customers directly rather than through the introducing broker. Our failure to maintain these relationships with these introducing brokers, to develop new relationships with introducing brokers or the failure of these introducing brokers to establish and maintain client relationships would result in a loss of revenues, which could adversely affect our business.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be held responsible by regulators or third-party plaintiffs for any improper conduct by our introducing brokers, even though we do not control their activities. This may be the case even when the introducing brokers are separately regulated. Many of our introducing brokers operate websites, which they use to advertise our services or direct customers to us. It is difficult for us to closely monitor the contents of their websites to ensure that the statements they make in relation to our services are accurate and comply with applicable rules and regulations. Any disciplinary action taken against us relating to the activities of our introducing brokers, or directly against any of our introducing brokers could have a material adverse effect on our reputation, damage our brand name and adversely affect our business, financial condition and operating results.</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Products linked to cryptocurrencies could expose us to technology, regulatory and financial risks. </w:t>
      </w:r>
      <w:r>
        <w:rPr>
          <w:rFonts w:ascii="Times New Roman" w:cs="Times New Roman" w:eastAsia="Times New Roman" w:hAnsi="Times New Roman"/>
          <w:sz w:val="18"/>
          <w:szCs w:val="18"/>
          <w:color w:val="auto"/>
        </w:rPr>
        <w:t>We offer derivative products linked to Bitcoin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cryptocurrencies in certain jurisdictions, and may expand the types of these products offered, the associated types of cryptocurrencies and the jurisdictions in which the products are offered. The distributed ledger technology underlying cryptocurrencies and other similar financial assets is evolving at a rapid pace and may be vulnerable to cyberattacks or have other inherent weaknesses that are not yet apparent. We may be, or may become, exposed to risks related to cryptocurrencies or other financial products that rely on distributed ledger technology through our facilitation of clients’ activities involving such financial products linked to distributed ledger technology.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currently no broadly accepted regulatory framework for Bitcoin or other cryptocurrencies, and the regulation of cryptocurrencies is developing and changing rapidly in the U.S. and other countries around the world. For example, in the U.S., it is unclear whether many cryptocurrencies are “securities” under federal securities laws, and the implications for us if any of our products linked to cryptocurrencies are determined to be securities could be significant and adverse. In addition, some market observers have asserted that historical material price fluctuations in many cryptocurrency markets, such as that for Bitcoin, may indicate the propensity for cryptocurrency markets to “bubble,” and if markets for any cryptocurrencies linked to our products suffer severe fluctuations, our customers could experience significant losses and we could lose their business.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manner in which we account for certain of our precious metals and energy commodities inventory may increase the volatility of our reported earnings. </w:t>
      </w:r>
      <w:r>
        <w:rPr>
          <w:rFonts w:ascii="Times New Roman" w:cs="Times New Roman" w:eastAsia="Times New Roman" w:hAnsi="Times New Roman"/>
          <w:sz w:val="18"/>
          <w:szCs w:val="18"/>
          <w:color w:val="auto"/>
        </w:rPr>
        <w:t>Our net income is subject to volatility due to the manner in which we report our precious metals and energy commodities inventory held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that are not broker-dealers. Our precious metals and energy inventory held in subsidiaries which are not broker-dealers is stated at the lower of cost or net realizable value. We generally mitigate the price risk associated with our commodities inventory through the use of derivatives. We do not elect hedge accounting under U.S. GAAP for this price risk mitigation. In such situations, any unrealized gains in our precious metals and energy inventory in our non-broker-dealer subsidiaries are not recognized under U.S. GAAP, but unrealized gains and losses in related derivative positions are recognized under U.S. GAAP. As a result, our reported earnings from these business segments are subject to greater volatility than the earnings from our other business segments.</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risk management policies and procedures may leave us exposed to unidentified or unanticipated risk, which could harm our business. </w:t>
      </w:r>
      <w:r>
        <w:rPr>
          <w:rFonts w:ascii="Times New Roman" w:cs="Times New Roman" w:eastAsia="Times New Roman" w:hAnsi="Times New Roman"/>
          <w:sz w:val="18"/>
          <w:szCs w:val="18"/>
          <w:color w:val="auto"/>
        </w:rPr>
        <w:t>Our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policies and procedures may not be fully effective in mitigating our risk exposure in all market environments or against all types of risk, including risks that are unidentified or unanticipated. Our risk management policies and procedures require, among other things, that we record and monitor thousands of transactions each day and we face the significant risk that we are not able to appropriately manage the risk associated with the large volume of transactions.</w:t>
      </w:r>
    </w:p>
    <w:p>
      <w:pPr>
        <w:spacing w:after="0" w:line="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addition, our risk management policies and procedures also may not adequately prevent losses due to technical errors if our testing and quality control practices are not effective in preventing software or hardware failures. To the extent that we elect to adjust our risk management policies and procedures to allow for an increase in risk tolerance, we will be exposed to the risk of greater losses. Even if we our risk management procedures are effective in mitigating known risks, new unanticipated risks may arise and we may not be protected against significant financial loss. These new risks may emerge if, among other reasons, regulators adopt new interpretations of existing laws, new laws are adopted or third-parties initiate litigation against us based on new, novel or unanticipated legal theories. Our risk management policies and procedures may not prevent us from experiencing a material adverse effect on our financial condition and results of operations and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 or third-party computer and communications systems failures, capacity constraints and breaches of security could increase our operating costs and/or credit losses, decrease net operating revenues and cause us to lose clients. </w:t>
      </w:r>
      <w:r>
        <w:rPr>
          <w:rFonts w:ascii="Times New Roman" w:cs="Times New Roman" w:eastAsia="Times New Roman" w:hAnsi="Times New Roman"/>
          <w:sz w:val="18"/>
          <w:szCs w:val="18"/>
          <w:color w:val="auto"/>
        </w:rPr>
        <w:t>We are heavily dependent on the capacity and reliability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computer and communications systems supporting our operations, whether owned and operated internally or by third parties, including those used for execution and clearance of our client’s trades and our market-making activities. We receive and process a large portion of our trade orders through electronic means, such as through public and private communications networks. These computer and communications systems and networks are subject to performance degradation or failure from any number of reasons, including loss of power, acts of war or terrorism, human error, natural disasters, fire, sabotage, hardware or software malfunctions or defects, computer viruses, intentional acts of vandalism, client error or misuse, lack of proper maintenance or monitoring and similar events. While we currently maintain business continuity and disaster recovery plans (the “BCPs”), which are intended to minimize service interruptions and secure data integrity, our BCPs may not work effectively during an emergency.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inability to avoid system failures exposes us to significant risks, including:</w:t>
      </w:r>
    </w:p>
    <w:p>
      <w:pPr>
        <w:spacing w:after="0" w:line="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disruptions in service to our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delays in trade execution and failed settlement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untimely or inaccurate accounting, recording, reporting or processing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client claims and regulatory sanctions.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hold a significant amount of personally identifiable information relating to our customers and other counterparties, which exposes us to significant regulatory and financial risks if such information is inadvertently disclosed to the public.</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our business, we collect and retain personally identifiable information of our clients. The continued occurrence of high-profile data breaches provides evidence of the serious threats to information security. Our clients expect that we will adequately protect their personal information, and the regulatory environment surrounding information security and privacy is increasingly demanding. Protecting against security breaches, including cyber-security attacks, is an increasing challenge, and penetrated or compromised data systems or the intentional, inadvertent or negligent release or disclosure of data could result in theft, loss or fraudulent or unlawful use of client or company data. It is possible that our security controls over personally identifiable information, our training of employees on data security and other practices we follow may not prevent the improper disclosure of personally identifiable information that we store and manage.</w:t>
      </w:r>
    </w:p>
    <w:p>
      <w:pPr>
        <w:spacing w:after="0" w:line="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significant risks relating to cybersecurity attacks against our trading platforms, internal databases and other technology systems. </w:t>
      </w:r>
      <w:r>
        <w:rPr>
          <w:rFonts w:ascii="Times New Roman" w:cs="Times New Roman" w:eastAsia="Times New Roman" w:hAnsi="Times New Roman"/>
          <w:sz w:val="18"/>
          <w:szCs w:val="18"/>
          <w:color w:val="auto"/>
        </w:rPr>
        <w:t>Cybersecurity attacks across industries, including ours, are increasing in sophistication and frequency and may range from uncoordinated individual attempts to measures targeted specifically at us. These attacks include but are not limited to, malicious software or viruses, attempts to gain unauthorized access to, or otherwise disrupt, our information systems, attempts to gain unauthorized access to proprietary information, and other electronic security breaches that could lead to disruptions in critical systems, unauthorized release of confidential or otherwise protected information and corruption of data. Cybersecurity failures may be caused by employee error, malfeasance, system errors or vulnerabilities, including vulnerabilities of our vendors, suppliers, and their products. We have been subject to cybersecurity attacks in the past, including breaches of our information technology systems, and may experience them in the future, potentially with more frequency or sophistication. Although we maintain cyber risk insurance, this insurance may not be sufficient to cover all of our losses from any future breaches of our systems.</w:t>
      </w:r>
    </w:p>
    <w:p>
      <w:pPr>
        <w:spacing w:after="0" w:line="8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System failures, inadvertent disclosure of customer personal information and/or cybersecurity breaches expose us to financial losses, regulatory fines or sanctions and third-party litigation. </w:t>
      </w:r>
      <w:r>
        <w:rPr>
          <w:rFonts w:ascii="Times New Roman" w:cs="Times New Roman" w:eastAsia="Times New Roman" w:hAnsi="Times New Roman"/>
          <w:sz w:val="18"/>
          <w:szCs w:val="18"/>
          <w:color w:val="auto"/>
        </w:rPr>
        <w:t>The occurrence of degradation or failure of the communications and computer systems on which we rely,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system issues, cybersecurity attacks or for other reasons, or the significant theft, loss or fraudulent use of client information, may lead to financial losses, litigation or arbitration claims filed by or on behalf of our clients, and regulatory investigations and sanctions. These events could also have a negative effect on our reputation, which in turn could cause us to lose existing clients to our competitors or make it more difficult for us to attract new clients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and Indebtedness Risks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success of our business depends on us having access to significant liquidity. </w:t>
      </w:r>
      <w:r>
        <w:rPr>
          <w:rFonts w:ascii="Times New Roman" w:cs="Times New Roman" w:eastAsia="Times New Roman" w:hAnsi="Times New Roman"/>
          <w:sz w:val="18"/>
          <w:szCs w:val="18"/>
          <w:color w:val="auto"/>
        </w:rPr>
        <w:t>Our business requires substantial cash to support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including in connection with the establishment and carrying of substantial open positions for clients on futures exchanges and in the OTC derivatives markets by posting and maintaining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have systems in place to collect margin and other deposits from clients on a same-day basis, however, there can be no assurance that these facilities and systems will be enable us to obtain additional cash on a timely basis. As such, the Company is highly dependent on its lines of credit and other financing facilities in order to fund margin calls and other operating activities and the loss of access to these sources of financing could have a material adverse effect on our results of operations, financial condition and cash flows.</w:t>
      </w:r>
    </w:p>
    <w:p>
      <w:pPr>
        <w:spacing w:after="0" w:line="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significant level of indebtedness could adversely affect our financial condition. </w:t>
      </w:r>
      <w:r>
        <w:rPr>
          <w:rFonts w:ascii="Times New Roman" w:cs="Times New Roman" w:eastAsia="Times New Roman" w:hAnsi="Times New Roman"/>
          <w:sz w:val="18"/>
          <w:szCs w:val="18"/>
          <w:color w:val="auto"/>
        </w:rPr>
        <w:t>As of September 30, 2020, our total consolidated indebtedness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$783.6 million, and we may increase our indebtedness in the future as we continue to expand our business. The level of our indebtedness could have material adverse effects on our business, financial condition and results of operations, including:</w:t>
      </w:r>
    </w:p>
    <w:p>
      <w:pPr>
        <w:spacing w:after="0" w:line="13" w:lineRule="exact"/>
        <w:rPr>
          <w:sz w:val="20"/>
          <w:szCs w:val="20"/>
          <w:color w:val="auto"/>
        </w:rPr>
      </w:pPr>
    </w:p>
    <w:p>
      <w:pPr>
        <w:ind w:left="660" w:right="22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portion of our cash flow from operations be used for the payment of interest on our indebtedness, thereby reducing our ability to use our cash flow to fund working capital, capital expenditures, acquisitions, investments and general corporate requirements; and</w:t>
      </w:r>
    </w:p>
    <w:p>
      <w:pPr>
        <w:spacing w:after="0" w:line="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investments and general corporate requirements.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be able to incur additional indebtedness in the future, including secured indebtedness. If new indebtedness is added to our current indebtedness levels, the related risks that we now face could increase materially.</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Committed credit facilities currently available to us might not be renewed. </w:t>
      </w:r>
      <w:r>
        <w:rPr>
          <w:rFonts w:ascii="Times New Roman" w:cs="Times New Roman" w:eastAsia="Times New Roman" w:hAnsi="Times New Roman"/>
          <w:sz w:val="18"/>
          <w:szCs w:val="18"/>
          <w:color w:val="auto"/>
        </w:rPr>
        <w:t>We currently have four committed credit facilities under which we may borrow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to $736.6 million, consisting of:</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$376.6 million facility for general working capital requirements, committed until February 22,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million facility for short-term funding of margin to commodity exchanges, committed until April 2,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3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$260.0 million committed facility for financing commodity financing arrangements and commodity repurchase agreements, committed until January 29, 2022;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million facility for short-term funding of margin to commodity exchanges, committed until October 14, 2021.</w:t>
      </w:r>
    </w:p>
    <w:p>
      <w:pPr>
        <w:spacing w:after="0" w:line="11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It is possible that these facilities might not be renewed at the end of their commitment periods and that we will be unable to replace them with other facilities on terms favorable to us or at all. If our credit facilities are unavailable or are insufficient to support future levels of business activity, we may need to raise additional debt or equity financing. If we cannot raise additional funds on acceptable terms, we may not be able to develop or enhance our business, take advantage of future opportunities or respond to competitive pressure or unanticipated requirements, leading to reduced profitability.</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agreements governing our notes and other debt contain financial covenants that impose restrictions on our business. </w:t>
      </w:r>
      <w:r>
        <w:rPr>
          <w:rFonts w:ascii="Times New Roman" w:cs="Times New Roman" w:eastAsia="Times New Roman" w:hAnsi="Times New Roman"/>
          <w:sz w:val="18"/>
          <w:szCs w:val="18"/>
          <w:color w:val="auto"/>
        </w:rPr>
        <w:t>The indenture governing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8.625% Senior Secured Notes due 2025 and the agreements governing our above-mentioned committed credit facilities impose significant operating and financial restrictions and limit our ability and that of our restricted subsidiaries to incur and guarantee additional indebtedness, pay dividends or make other distributions in respect of, or repurchase or redeem, capital stock and prepay, redeem or repurchase certain debt, among other restrictions.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failure to comply with these restrictive covenants, as well as others contained in any future debt instruments from time to time, could result in an event of default, which, if not cured or waived, could have a material adverse effect on our business, financial condition and results of operations and result in our being required to repay these borrowings before their maturity. Our inability to generate sufficient cash flow to satisfy our debt obligations, to obtain additional debt or to refinance our obligations on commercially reasonable terms would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Regulatory Risks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scope and complexity of the regulation to which we are subject creates significant risks for us. </w:t>
      </w:r>
      <w:r>
        <w:rPr>
          <w:rFonts w:ascii="Times New Roman" w:cs="Times New Roman" w:eastAsia="Times New Roman" w:hAnsi="Times New Roman"/>
          <w:sz w:val="18"/>
          <w:szCs w:val="18"/>
          <w:color w:val="auto"/>
        </w:rPr>
        <w:t>The securities and derivatives industries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regulation under federal, state and foreign laws. In addition, the SEC, the CFTC, FINRA, the MSRB, the FCA, the FSA, IIROC, the OSC, MAS, ASIC, CIMA, the NFA, the CME Group, Inc. and other self-regulatory organizations (commonly referred to as SROs), state securities commissions, and foreign securities regulators require compliance with their respective rules and regulations.</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These regulations govern a broad and diverse range of our activities, including, without limitation, risk management, disclosures to clients, reporting requirements, client identification and anti-money laundering requirements, safeguarding client assets and personal information and the conduct of our directors, officers and employees.</w:t>
      </w:r>
    </w:p>
    <w:p>
      <w:pPr>
        <w:spacing w:after="0" w:line="6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Failure to comply with any of these laws, rules or regulations could result in material adverse effects on or business, results of operations and financial condition, including as a result of regulatory investigations and enforcement proceedings, civil litigation, fines and/or other settlement payments. In addition, changes in existing rules or regulations, including the interpretation thereof, or the adoption of new rules or regulations, could subject us to increased cost and risk of regulatory investigation or civil litigation and could have a material adverse effect on our business,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complying with our regulatory requirements is significant and could increase materially in the future.</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to comply with our regulatory requirements, including with respect to the development, operation and continued enhancement of our trading platforms and technology solutions relating to trade execution, trade reporting, trade surveillance and transaction monitoring, record keeping and data reporting. New regulations, including amendments of existing rules, could result in material increases in operating costs in order to comply with additional requirements.</w:t>
      </w:r>
    </w:p>
    <w:p>
      <w:pPr>
        <w:spacing w:after="0" w:line="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significant risk from civil litigation and regulatory enforcement actions against us. </w:t>
      </w:r>
      <w:r>
        <w:rPr>
          <w:rFonts w:ascii="Times New Roman" w:cs="Times New Roman" w:eastAsia="Times New Roman" w:hAnsi="Times New Roman"/>
          <w:sz w:val="18"/>
          <w:szCs w:val="18"/>
          <w:color w:val="auto"/>
        </w:rPr>
        <w:t>Our businesses are highly regulated and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engaged in a large number of transactions for our global client base. As a result, we are a party to a significant number of lawsuits and regulatory investigations and proceedings, which are costly and time consuming to defend or address and expose us to risk of loss and fines and penalties. Moreover, the amounts involved in the trades we execute, together with the potential for rapid price movements in the products we offer, can result in potentially large damage claims in any litigation resulting from such trades.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volume of claims and the amount of damages and fines claimed in litigation and regulatory proceedings against financial services firms has been increasing and may continue to increase. The risks relating to litigation and regulatory investigations and enforcement actions will increase as our business expands.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a further discussion of litigation risks, see Item 3—Legal Proceedings below and Note 13 - Commitments and Contingencies in the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Certain of our subsidiaries are required to maintain significant levels of net capital and if our subsidiaries fail to meet these requirements, we face suspension, expulsion or limitation on our product lines. </w:t>
      </w:r>
      <w:r>
        <w:rPr>
          <w:rFonts w:ascii="Times New Roman" w:cs="Times New Roman" w:eastAsia="Times New Roman" w:hAnsi="Times New Roman"/>
          <w:sz w:val="17"/>
          <w:szCs w:val="17"/>
          <w:color w:val="auto"/>
        </w:rPr>
        <w:t>Our regulated subsidiaries are subject to a number of requirements to maintain specific levels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capital. Failure to maintain the required net capital may subject our subsidiaries to suspension or revocation of their license or registration or expulsion from regulatory bodies. Any of these outcomes could have a material adverse effect on our business, results of operations and financial condition.</w:t>
      </w:r>
    </w:p>
    <w:p>
      <w:pPr>
        <w:spacing w:after="0" w:line="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these net capital requirements, one of our subsidiaries is subject to the deposit and/or collateral requirements of the clearing houses in which it participates (such as The Depository Trust &amp; Clearing Corporation and The Options Clearing Corporation). These requirements may fluctuate significantly from time to time based upon the nature and size of client trading activity. Failure to meet such requirements could result in our inability to continue to participate in the clearinghouse, which could have a material adverse effect on our business, results of operation and financial condition.</w:t>
      </w:r>
    </w:p>
    <w:p>
      <w:pPr>
        <w:spacing w:after="0" w:line="6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existing net capital rules or the issuance of new rules could restrict our operations or limit our ability to issue dividends or repay debt.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depends on the use of capital, most of which is generated and held by our operating subsidiaries. If there are changes to existing net capital rules, or new rules are issued, that require us to hold additional capital at our operating subsidiaries, we may be unable to issue dividends from our subsidiaries to fund our operations or repay our debt, which could have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 Risks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operations involve special challenges that we may not be able to meet, which could adversely affect our financial results. </w:t>
      </w:r>
      <w:r>
        <w:rPr>
          <w:rFonts w:ascii="Times New Roman" w:cs="Times New Roman" w:eastAsia="Times New Roman" w:hAnsi="Times New Roman"/>
          <w:sz w:val="18"/>
          <w:szCs w:val="18"/>
          <w:color w:val="auto"/>
        </w:rPr>
        <w:t>We engage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significant amount of business with clients in the international markets. We face certain additional risks that are inherent in doing business in international markets, particularly in the regulated industries in which we participate. These risks include an inability to manage and coordinate the various regulatory requirements of multiple jurisdictions that are constantly evolving and subject to unexpected change, difficulties of debt collection and enforcement of contract rights in foreign jurisdictions and reduced protection for intellectual property rights.</w:t>
      </w:r>
    </w:p>
    <w:p>
      <w:pPr>
        <w:spacing w:after="0" w:line="71"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Fluctuations in currency exchange rates could negatively impact our earnings. </w:t>
      </w:r>
      <w:r>
        <w:rPr>
          <w:rFonts w:ascii="Times New Roman" w:cs="Times New Roman" w:eastAsia="Times New Roman" w:hAnsi="Times New Roman"/>
          <w:sz w:val="18"/>
          <w:szCs w:val="18"/>
          <w:color w:val="auto"/>
        </w:rPr>
        <w:t>A significant portion of our international business is conducted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other than the U.S. dollar, and changes in foreign exchange rates relative to the U.S. dollar can therefore affect the value of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net assets, revenues and expenses. Although we closely monitor potential exposures as a result of these fluctuations in currencies and adopt strategies designed to reduce the impact of these fluctuations on our financial performance,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operations are subject to the political, legal and economic risks associated with politically unstable and less developed regions of the world, including the risk of war and other international conflicts and actions by governmental authorities, insurgent groups, terrorists and others.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operations are subject to specific risks that are more likely to arise in politically unstable and less developed regions of the world. We may conduct business in countries that are the subject of actual or threatened war, terrorist activity, outbreaks of pandemic or contagious diseases, such as the novel coronavirus (COVID-19), political instability, civil strife and other geopolitical uncertainty, economic and financial instability, highly inflationary environment, unexpected changes in regulatory requirements, tariffs and other trade barriers, exchange rate fluctuations, applicable currency controls, the imposition of restrictions on currency conversion or the transfer of funds and difficulties in staffing and managing foreign operations, including reliance on local experts. As a result of these and other factors, the currencies of these countries may be unstable. Future instability in such currencies or the imposition of governmental or regulatory restrictions on such currencies or on business in such countries could impede our foreign business.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we operate in certain jurisdictions without local registration, licensing or authorization, we may be subject to possible enforcement action and sanction for our operations in such jurisdictions if our operations are determined to have violated regulations in those jurisdictions. Further, we may be required to cease operations in one or more of the countries in which we operate without registration, licensing or authorization, or our growth may be limited by newly imposed regulatory or other restrictions. </w:t>
      </w:r>
      <w:r>
        <w:rPr>
          <w:rFonts w:ascii="Times New Roman" w:cs="Times New Roman" w:eastAsia="Times New Roman" w:hAnsi="Times New Roman"/>
          <w:sz w:val="18"/>
          <w:szCs w:val="18"/>
          <w:color w:val="auto"/>
        </w:rPr>
        <w:t>A portion of our retail trading volume was attributable to customers in jurisdictions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or our white label partners are not currently licensed or authorized by the local government or applicable self-regulatory organization. This includes jurisdictions, such as China, from which we derive revenue and profit and in which the local government has not adopted specific regulations governing the trading of foreign exchange and CFD products of the types we offer to retail clients. We determine the nature and extent of services we can offer and the manner in which we conduct our business in the various jurisdictions in which we serve customers based on a variety of factors, including legal advice received from local counsel, our review of applicable U.S. and local laws and regulations and, in some cases, our discussions with local regulators. In cases in which we operate in jurisdictions based on local legal advice and/or cross border in a manner that we believe does not require us to be regulated in a particular jurisdiction, we are exposed to the risk that our legal, regulatory and other analysis is subsequently determined by a local regulatory agency or other authority to be incorrect and that we have not been in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compliance with local laws or regulations, including local licensing or authorization requirements, and to the risk that the regulatory environment in a jurisdiction may change, including in a circumstance where laws or regulations or licensing or authorization requirements that previously were not enforced become subject to enforcement.</w:t>
      </w:r>
    </w:p>
    <w:p>
      <w:pPr>
        <w:spacing w:after="0" w:line="6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such jurisdictions in which we are not licensed or authorized, we may be subject to a variety of restrictions regarding the manner in which we conduct our business or serve customers, including restrictions on:</w:t>
      </w:r>
    </w:p>
    <w:p>
      <w:pPr>
        <w:spacing w:after="0" w:line="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website specifically targeted to potential customers in a particular country;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a physical presence in a particular country;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services we may offer customers physically present in each country.</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restrictions may have a material adverse effect on our results of operations and financial condition and/or may limit our ability to grow or continue to operate our business in any such jurisdiction or may result in increased overhead costs or degradation in our services in that jurisdiction. Consequently, we cannot assure you that our operations in jurisdictions where we are not licensed or authorized will continue uninterrupted or that our international expansion plans will be achieved.</w:t>
      </w:r>
    </w:p>
    <w:p>
      <w:pPr>
        <w:spacing w:after="0" w:line="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may be subject to possible enforcement action and penalties if we are determined to have previously offered, or currently offer, our services in violation of applicable laws and regulations in any of the markets in which we serve customers. In any such case, we may be required to cease the conduct of our business with customers in one or more jurisdictions. We may also determine that compliance with the laws or licensing, authorization or other regulatory requirements for continuing the business in one or more jurisdictions are too onerous to justify making the necessary changes. In addition, any such event could negatively impact our relationship with the regulators or self-regulatory organizations in the jurisdictions where we are subject to regulation.</w:t>
      </w:r>
    </w:p>
    <w:p>
      <w:pPr>
        <w:spacing w:after="0" w:line="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are required to comply with specific anti-corruption and record-keeping laws and regulations applicable to companies conducting business internationally, and if we violate these laws and regulations, it could adversely affect our business and subject us to broader liability.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business operations are subject to various anti-corruption laws and regulations, including restrictions imposed by the Foreign Corrupt Practices Act (the “FCPA”) and trade sanctions administered by the U.S. Treasury Department’s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including the UK Bribery Act 2010, there can be no assurance that, in the future, the operations of our businesses will not violate these laws and regulations, and we could be exposed to claims for damages, financial penalties, reputational harm, incarceration of employees and restrictions on our operations and cash flows.</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U.K.’s withdrawal from the European Union could have an adverse effect on our business and financial results. </w:t>
      </w:r>
      <w:r>
        <w:rPr>
          <w:rFonts w:ascii="Times New Roman" w:cs="Times New Roman" w:eastAsia="Times New Roman" w:hAnsi="Times New Roman"/>
          <w:sz w:val="18"/>
          <w:szCs w:val="18"/>
          <w:color w:val="auto"/>
        </w:rPr>
        <w:t>On January 31, 2020, the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withdrew from membership in the E.U., which exit (referred to as Brexit) could cause disruptions to, and create uncertainty surrounding, our business in the U.K. and E.U., including our historical right to serve customers in the E.U. on a passport basis due to the licenses we hold in the U.K. Brexit could also impact our existing and future relationships with suppliers and employees in the U.K. and E.U. by disrupting the free movement of goods, services, and people between the U.K., the E.U., and elsewhere. As a result, Brexit could have an adverse effect on our future business, financial results and operations.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long-term nature of the U.K.’s relationship with the E.U. is unclear and subject to considerable uncertainty. The effects of Brexit will depend on any agreements the U.K. makes to retain access to E.U. markets during a transitional period that is set to expire on December 31, 2020, during which the British government will continue to negotiate the terms of the U.K.'s future relationship with the E.U. The outcome of these negotiations is uncertain, and Brexit could lead to legal uncertainty and potentially divergent national laws and regulations as the U.K. determines which E.U. laws to replace or replicate. Further, uncertainty around these and related issues could lead to adverse effects on the economy of the U.K. and the other economies in which we operate. There can be no assurance that any or all of these events will not have a material adverse effect on our business operations,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Risk</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intense competition. </w:t>
      </w:r>
      <w:r>
        <w:rPr>
          <w:rFonts w:ascii="Times New Roman" w:cs="Times New Roman" w:eastAsia="Times New Roman" w:hAnsi="Times New Roman"/>
          <w:sz w:val="18"/>
          <w:szCs w:val="18"/>
          <w:color w:val="auto"/>
        </w:rPr>
        <w:t>We derive a significant portion of our revenues from market-making and trading activities involving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commodities and foreign exchange. The market for these services, particularly market-making services through electronic communications gateways, is rapidly evolving and intensely competitive. We expect competition to</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continue and intensify in the future. We compete primarily with wholesale, national and regional broker-dealers and FCMs, as well as electronic communications networks. We compete primarily on the basis of our expertise and quality of service.</w:t>
      </w:r>
    </w:p>
    <w:p>
      <w:pPr>
        <w:spacing w:after="0" w:line="54" w:lineRule="exact"/>
        <w:rPr>
          <w:sz w:val="20"/>
          <w:szCs w:val="20"/>
          <w:color w:val="auto"/>
        </w:rPr>
      </w:pPr>
    </w:p>
    <w:p>
      <w:pPr>
        <w:jc w:val="both"/>
        <w:ind w:right="560"/>
        <w:spacing w:after="0" w:line="289" w:lineRule="auto"/>
        <w:rPr>
          <w:sz w:val="20"/>
          <w:szCs w:val="20"/>
          <w:color w:val="auto"/>
        </w:rPr>
      </w:pPr>
      <w:r>
        <w:rPr>
          <w:rFonts w:ascii="Times New Roman" w:cs="Times New Roman" w:eastAsia="Times New Roman" w:hAnsi="Times New Roman"/>
          <w:sz w:val="17"/>
          <w:szCs w:val="17"/>
          <w:color w:val="auto"/>
        </w:rPr>
        <w:t>We also derive a significant portion of our revenues from commodities risk management services. The commodity risk management industry is very competitive and we expect competition to continue to intensify in the future. Our primary competitors in this industry include both large, diversified financial institutions and commodity-oriented businesses, smaller firms that focus on specific products or regional markets and independent FCMs.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our competitors have significantly greater financial, technical, marketing and other resources than we have. Some of them:</w:t>
      </w:r>
    </w:p>
    <w:p>
      <w:pPr>
        <w:spacing w:after="0" w:line="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alternative forms of financial intermediation as a result of superior technology and greater availability of information;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wider range of services and products than we offer;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larger and better capitalized;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greater name recognition;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more extensive client bases.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competitors may be able to respond more quickly to new or evolving opportunities and client requirements. They may also be able to undertake more extensive promotional activities and offer more attractive terms to clients.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Recent advances in computing and communications technology are substantially changing the means by which market-making services are delivered, including more direct access on-line to a wide variety of services and information. This has created demand for more sophisticated levels of client service. Providing these services may entail considerable cost without an offsetting increase in revenues. In addition, current and potential competitors have established or may establish cooperative relationships or may consolidate to enhance their services and products. New competitors or alliances among competitors may emerge and they may acquire significant market share.</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compete effectively with current or future competitors or that the competitive pressures we face will not have an adverse effect on our business,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Risks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has depended significantly on acquisitions. </w:t>
      </w:r>
      <w:r>
        <w:rPr>
          <w:rFonts w:ascii="Times New Roman" w:cs="Times New Roman" w:eastAsia="Times New Roman" w:hAnsi="Times New Roman"/>
          <w:sz w:val="18"/>
          <w:szCs w:val="18"/>
          <w:color w:val="auto"/>
        </w:rPr>
        <w:t>A large proportion of our historical growth has been due through acquisitions of complementary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technologies or services. Our operating revenues grew from $671.0 million in fiscal 2016 to $1,308.3 million in fiscal 2020 as a result of several acquisitions and during the fiscal year ended September 30, 2020, we entered into five transactions, including the acquisition of GAIN Capital Holdings, Inc., which was material to our results of operations and financial condition. We cannot provide any assurances that we will be able to engage in additional suitable acquisitions on attractive terms or at all, or that we would be able to obtain financing for future transactions. If we are not able enter into additional transactions, our growth may be adversely affected.</w:t>
      </w:r>
    </w:p>
    <w:p>
      <w:pPr>
        <w:spacing w:after="0" w:line="7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are numerous significant risks associated with acquisitions and our failure to adequately manage these risks could lead to financial loss and a failure to realize the benefits of the transactions. </w:t>
      </w:r>
      <w:r>
        <w:rPr>
          <w:rFonts w:ascii="Times New Roman" w:cs="Times New Roman" w:eastAsia="Times New Roman" w:hAnsi="Times New Roman"/>
          <w:sz w:val="18"/>
          <w:szCs w:val="18"/>
          <w:color w:val="auto"/>
        </w:rPr>
        <w:t>There are a number of significant challenges that need to be overcome in order to realize the benefits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including:</w:t>
      </w:r>
    </w:p>
    <w:p>
      <w:pPr>
        <w:spacing w:after="0" w:line="1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management teams, strategies, cultures, technologies and operations of the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assimilating the key personnel of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clients of the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uniform standards, controls, procedures, policies and information systems;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revenue growth.</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these risks are not appropriately managed, we may fail to realize the anticipated benefits of such acquisitions or incur unanticipated liabilities, any of which could materially affect our business, financial condition and operating results. In addition, in connection with our acquisitions, we may be required to issue common stock, which would dilute our existing shareholders, or incur additional debt, which would increase our operating costs and potentially strain our liquidity. Moreover, acquisitions could lead to increases in amortization expenses, impairments of goodwill and purchased long-lived assets or restructuring charges, any of which could materially harm our financial condition or results.</w:t>
      </w:r>
    </w:p>
    <w:p>
      <w:pPr>
        <w:spacing w:after="0" w:line="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give rise to unforeseen issues. </w:t>
      </w:r>
      <w:r>
        <w:rPr>
          <w:rFonts w:ascii="Times New Roman" w:cs="Times New Roman" w:eastAsia="Times New Roman" w:hAnsi="Times New Roman"/>
          <w:sz w:val="18"/>
          <w:szCs w:val="18"/>
          <w:color w:val="auto"/>
        </w:rPr>
        <w:t>Acquisitions involve considerable risk, including the potential disruption of each company’s ongoing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distraction of their respective management teams, unanticipated expenses and unforeseen liabilities. Our failure to address these risks or other problems encountered in connection with acquisitions could cause us to fail to realize the anticipated benefits of such acquisitions or incur unanticipated liabilities, any of which could adversely affect our business, financial condition and operating results.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and retain key personnel.</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Competition for key personnel and other highly qualified management, sales, trading, compliance and technical personnel is significant. It is possible that we will be unable to retain our key personnel and to attract, assimilate or retain other highly qualified personnel in the future. The loss of the services of any of our key personnel or the inability to identify, hire, train and retain other qualified personnel in the future could have a material adverse effect on our business, financial condition and operating results.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other companies in the financial sector have experienced losses of sales and trading professionals. The level of competition to attract these professionals is intense. It is possible that we will lose professionals due to increased competition or other factors in the future. The loss of a sales and trading professional, particularly a senior professional with broad industry expertise, could have a material adverse effect on our business, financial condition and operating results.</w:t>
      </w:r>
    </w:p>
    <w:p>
      <w:pPr>
        <w:spacing w:after="0" w:line="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Certain provisions of Delaware law and our charter may adversely affect the rights of holders of our common stock and make a takeover of us more difficult. </w:t>
      </w:r>
      <w:r>
        <w:rPr>
          <w:rFonts w:ascii="Times New Roman" w:cs="Times New Roman" w:eastAsia="Times New Roman" w:hAnsi="Times New Roman"/>
          <w:sz w:val="17"/>
          <w:szCs w:val="17"/>
          <w:color w:val="auto"/>
        </w:rPr>
        <w:t>We are organized under the laws of the State of Delaware. Certain provisions of Delaware law may have the effect of delaying or preventing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in control. In addition, certain provisions of our certificate of incorporation may have anti-takeover effects and may delay, defer or prevent a takeover attempt that a stockholder might consider in its best interest. Our certificate of incorporation authorizes the board to determine the terms of our unissued series of preferred stock and to fix the number of shares of any series of preferred stock without any vote or action by our stockholders. As a result, the board can authorize and issue shares of preferred stock with voting or conversion rights that could adversely affect the voting or other rights of holders of our common stock. In addition, the issuance of preferred stock may have the effect of delaying or preventing a change of control, because the rights given to the holders of a series of preferred stock may prohibit a merger, reorganization, sale, liquidation or other extraordinary corporate transaction.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received no written comments regarding our periodic or current reports from the staff of the SEC that were issued 180 days or more preceding the end of our fiscal year 2020 that remain unresolved.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offices in New York, New York; Bedminster, New Jersey; Winter Park, Florida; West Des Moines, Iowa; Chicago, Illinois; Kansas City, Missouri; Omaha, Nebraska; Bloomfield, Nebraska; Minneapolis, Minnesota; Champaign, Illinois; Miami, Florida; Indianapolis, Indiana; Lawrence, Kansas; Mobile, Alabama; Boca Raton, Florida; Fort Lauderdale, FL; Twin Falls, Idaho; Bowling Green, Ohio; Powell, Ohio; Birmingham, Alabama; Gadsden, Alabama; Charlotte, North Carolina; Atlanta, Georgia; Houston, Texas; Dallas, Texas; Los Angeles, California; Park City, Utah; Seattle, Washington; Stamford, Connecticut; Mexico City, Mexico; Buenos Aires, Argentina; Campinas, Brazil; Sao Paulo, Brazil; Maringa, Brazil; Passo Fundo, Brazil; Goiania, Brazil; Recife, Brazil; Sorriso, Brazil; Patrocinio, Brazil; Campo Grande, Brazil; Primavera do Leste, Brazil; Asuncion and Ciudad del Este, Paraguay; Bogota, Colombia; London, United Kingdom; Dublin, Ireland; Dubai, United Arab Emirates; Singapore, Singapore; Beijing and Shanghai, China; Hong Kong; Tokyo, Japan; Bangalore, India; Krakow, Poland; Toronto, Canada; Montreal, Canada; Sydney, Australia; Luxembourg, Luxembourg; and Frankfurt, Germany.</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New York, New York. All of our offices and other principal business properties are leased, except for a portion of our space in Buenos Aires, which we own. We believe that our leased and owned facilities are adequate to meet anticipated requirements for our current lines of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legal proceedings to which we are currently a party, see Note 13, “Commitments and Contingencies - Legal and Regulatory Proceedings” in the notes to our Consolidated Financial Statements included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‘SNEX’. Our common stock trades on the NASDAQ Global Select Market. As of September 30, 2020, there were approximately 336 registered holders of record of our common stock. The high and low sales prices per share of our common stock for each full quarterly period during fiscal 2020 and 2019 were as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900" w:type="dxa"/>
            <w:vAlign w:val="bottom"/>
            <w:tcBorders>
              <w:bottom w:val="single" w:sz="8" w:color="auto"/>
            </w:tcBorders>
          </w:tcPr>
          <w:p>
            <w:pPr>
              <w:spacing w:after="0"/>
              <w:rPr>
                <w:sz w:val="16"/>
                <w:szCs w:val="16"/>
                <w:color w:val="auto"/>
              </w:rPr>
            </w:pPr>
          </w:p>
        </w:tc>
      </w:tr>
      <w:tr>
        <w:trPr>
          <w:trHeight w:val="188"/>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16"/>
                <w:szCs w:val="16"/>
                <w:color w:val="auto"/>
              </w:rPr>
            </w:pPr>
          </w:p>
        </w:tc>
        <w:tc>
          <w:tcPr>
            <w:tcW w:w="9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69"/>
        </w:trPr>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9"/>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Fourth Quarter</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r>
      <w:tr>
        <w:trPr>
          <w:trHeight w:val="18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Third Quarter</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89"/>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Second Quarter</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r>
      <w:tr>
        <w:trPr>
          <w:trHeight w:val="18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First Quarter</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r>
      <w:tr>
        <w:trPr>
          <w:trHeight w:val="189"/>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Fourth Quarter</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r>
      <w:tr>
        <w:trPr>
          <w:trHeight w:val="189"/>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Third Quarter</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w:t>
            </w:r>
          </w:p>
        </w:tc>
      </w:tr>
      <w:tr>
        <w:trPr>
          <w:trHeight w:val="18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Second Quarter</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r>
      <w:tr>
        <w:trPr>
          <w:trHeight w:val="188"/>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First Quarter</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111760</wp:posOffset>
            </wp:positionV>
            <wp:extent cx="5863590" cy="3291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never declared any cash dividends on our common stock, and do not currently have any plans to pay dividends on our common stock. The payment of cash dividends in the future is subject to the discretion of our Board of Directors and will depend on our earnings, financial condition, capital requirements, contractual restrictions and other relevant factors. Our credit agreements currently prohibit the payment of cash dividends by us.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13, 2019, our Board of Directors authorized the repurchase of up to 1.5 million shares of our outstanding common stock from time to time in open market purchases and private transactions, commencing on August 14, 2019 and ending on September 30, 2020. The repurchases are subject to the discretion of the senior management team to implement our stock repurchase plan, and subject to market conditions and as permitted by securities laws and other legal, regulatory and contractual requirements and covenants. As of the date of this filing, there has been no subsequent authorization by our Board of Directors to repurchase shares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repurchase program activity for the three months ended September 30, 2020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1"/>
                <w:szCs w:val="11"/>
                <w:color w:val="auto"/>
              </w:rPr>
            </w:pPr>
          </w:p>
        </w:tc>
        <w:tc>
          <w:tcPr>
            <w:tcW w:w="2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to be 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5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Program </w:t>
            </w:r>
            <w:r>
              <w:rPr>
                <w:rFonts w:ascii="Times New Roman" w:cs="Times New Roman" w:eastAsia="Times New Roman" w:hAnsi="Times New Roman"/>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2020 to July 31, 2020</w:t>
            </w: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1, 2020 to August 31, 2020</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 2020 to September 30, 2020</w:t>
            </w: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94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-10160</wp:posOffset>
            </wp:positionV>
            <wp:extent cx="31203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140" w:hanging="114"/>
        <w:spacing w:after="0"/>
        <w:tabs>
          <w:tab w:leader="none" w:pos="14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authorized repurchase of our common stock in place during fiscal 2020 ended on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-90170</wp:posOffset>
            </wp:positionV>
            <wp:extent cx="31203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1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equity securities are authorized for issuance is set forth in Part III, Item 12 of our Annual Report on Form 10-K.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and operating data are derived from our consolidated financial statements and should be read in conjunction with Management’s Discussion and Analysis of Financial Condition and Results of Operations, included in Item 7 and our Consolidated Financial Statements included in Item 8.</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Summary Financial Information</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52,899.2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31,830.3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26,682.4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28,673.3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14,112.0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312.2</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Commissions and clearing fees</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233.3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54,139.6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32,897.0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27,622.7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29,423.6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14,754.9</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52,831.3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31,790.9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26,646.9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28,639.6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14,083.9</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975.8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671.0</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4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443.9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14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14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377.4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acquisitions and other gains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tax</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206.7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Earnings per share:</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shares: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18,824,328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18,738,905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18,549,011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18,395,987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18,410,561</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19,180,479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19,014,395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18,934,830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18,687,354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18,625,372</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Data:</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Return on average stockholders’ equity</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Employees, end of period</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and benefits as a percentage of operating revenues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Balance Sheet Information:</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44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82"/>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13,474.9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9,936.1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7,824.7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6,243.4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5,950.3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Lenders under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515.5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8"/>
        </w:trPr>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document, unless the context otherwise requires, the terms “Company”, “we”, “us” and “our” refer to StoneX Group Inc. and its consolidated subsidiaries. StoneX Group Inc. was formerly INTL FCStone Inc.</w:t>
      </w:r>
    </w:p>
    <w:p>
      <w:pPr>
        <w:spacing w:after="0" w:line="5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notes thereto appearing elsewhere in this report. This Annual Report on Form 10-K contains “forward-looking statements” within the meaning of Section 27A of the Securities Act of 1933 and Section 21E of the Securities Exchange Act of 1934. These forward-looking statements involve known and unknown risks and uncertainties, many of which are beyond the control of the Company, including adverse changes in economic, political and market conditions, losses from our market-making and trading activities arising from counterparty failures and changes in market conditions, the possible loss of key personnel, the impact of increasing competition, the impact of changes in government regulation, the possibility of liabilities arising from violations of foreign, U.S. federal and U.S. state securities laws, the impact of changes in technology in the securities and commodities trading industries, the failure to successfully integrate the operations of businesses acquired and the potential impact of the COVID-19 pandemic on our business, operations, results of operations, financial condition, workforce or the operations or decisions of our customers, suppliers or business customers.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Factors that might cause such a difference include, among other things, those set forth under “Risk Factors” and those appearing elsewhere in this Form 10-K. Readers are cautioned not to place undue reliance on these forward-looking statements, which reflect management’s analysis only as of the date hereof.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 and our team of more than 2,900 employees as of September 30, 2020. We believe our client-first approach differentiates us from large banking institutions, engenders trust and has enabled us to establish leadership positions in a number of complex fields in financial markets around the world. For additional information, see </w:t>
      </w:r>
      <w:r>
        <w:rPr>
          <w:rFonts w:ascii="Times New Roman" w:cs="Times New Roman" w:eastAsia="Times New Roman" w:hAnsi="Times New Roman"/>
          <w:sz w:val="18"/>
          <w:szCs w:val="18"/>
          <w:i w:val="1"/>
          <w:iCs w:val="1"/>
          <w:color w:val="auto"/>
        </w:rPr>
        <w:t>Overview of Business and Strategy</w:t>
      </w:r>
      <w:r>
        <w:rPr>
          <w:rFonts w:ascii="Times New Roman" w:cs="Times New Roman" w:eastAsia="Times New Roman" w:hAnsi="Times New Roman"/>
          <w:sz w:val="18"/>
          <w:szCs w:val="18"/>
          <w:color w:val="auto"/>
        </w:rPr>
        <w:t xml:space="preserve"> within Item 1. Business section of this Annual Report on Form 10-K.</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31, 2020, we completed the acquisition of Gain Capital Group Inc. (“Gain”), an online provider of retail foreign exchange trading and related services. Gain is a provider of innovative trading technology and execution services to retail and institutional investors worldwide, with multiple access points to OTC markets and global exchanges across a wide range of asset classes, including foreign exchange, commodities and global equities. We view this as a significant acquisition, which triggered a reassessment of the financial information reviewed by our executive management team, which is considered our Chief Operating Decision Maker, on a regular basis, and which is used to make resource allocation decisions. The acquisition of Gain added a significant amount of incremental business from a new client type – retail. Prior to the acquisition, Gain was a publicly traded corporation in the United States, and reported its performance along two reportable segments: retail and futures, in its periodic reporting with the SEC. We have existing businesses with activities similar to Gain’s futures business. Gain’s retail business however, represents a fundamental change in our business strategy.</w:t>
      </w:r>
    </w:p>
    <w:p>
      <w:pPr>
        <w:spacing w:after="0" w:line="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light of this fundamental change and reassessment described above, we have modified the operating segments we use to evaluate our performance. Accordingly, our operating segments are now based primarily on the nature of the client we serve (commercial, institutional, and retail), and a fourth operating segment, our global payments business. We manage our business in this manner due to our large global footprint, in which we have more than 2,900 employees allowing us to serve clients in more than 180 countries.</w:t>
      </w:r>
    </w:p>
    <w:p>
      <w:pPr>
        <w:spacing w:after="0" w:line="7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noted, our four reportable segments consist of Commercial, Institutional, Retail, and Global Payments. See Segment Information for a listing of business activities performed within our reportable segments.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June 2020, we announced the rebranding of our firm as StoneX Group Inc., following approval by an overwhelming majority of our shareholders during a shareholder meeting held the same day. The name change was effective July 6, 2020, and additionally our common stock is now traded under the symbol SNEX.</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StoneX Group Inc. name and its trade name "StoneX" carry forward the foundation established by Saul Stone in 1924 to today's modern financial services firm. Today, we provide an institutional-grade financial services ecosystem connecting our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clients to 36 derivatives exchanges, 175 foreign exchange markets, nearly every global securities marketplace, and a number of bi-lateral liquidity venues via our network of highly integrated digital platforms and experienced professionals. Our platform delivers support throughout the entire lifecycle of a transaction, from consulting and boots-on-the-ground intelligence, to efficient execution, to post-trade clearing, custody and settlement.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 Impact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Beginning in the second quarter of fiscal 2020 and continuing through the end of fiscal 2020, worldwide social and economic activity became severely impacted by the spread and threat of coronavirus (“COVID-19”). In March 2020, COVID-19 was recognized as a global pandemic and has spread to many regions of the world, including all countries in which we have operations. The response by governments and societies to the COVID-19 pandemic, which include temporary closures of businesses, social distancing, travel restrictions, “shelter in place” and other governmental regulations, has significantly impacted market volatility and general economic conditions. We are closely tracking the evolving impact of COVID-19 and are focused on helping our customers and employees through these difficult times.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Results of Operations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COVID-19 pandemic has resulted in significant market volatility and unprecedented market conditions. Our fourth quarter results continue to reflect revenue growth in Equity and Debt Capital Markets over the prior year primarily related to increased customer flow to our equity market making desk and a widening of spreads in fixed income products, albeit to a lesser extent than the third quarter of fiscal 2020, as a result of periods of higher volatility in the global markets due to economic concerns related to the COVID-19 pandemic. We have also seen a a significant increase in customer demand for precious metals in light of the COVID-19 global pandemic and the resulting effect on the global economy. This revenue growth has been partially offset by the effect of the actions of the Federal Open Market Committee (“FOMC”) to immediately reduce short term interest rates by 100 basis points in March 2020 in response to the economic effect of the pandemic and the resulting effect on our interest and fee income earned on client balances as well as increases in bad debt expense, reflective of the effect of the global pandemic on our client base.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Current Balance Sheet and Liquidity</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currently have a strong balance sheet and liquidity profile. In addition to our cash and cash equivalents as of September 30, 2020, we had $173.5 million of committed funds available under our credit facility for general working capital requirements. We believe we have sufficient liquidity and have preserved financial flexibility in light of current uncertainty in the global markets resulting from the COVID-19 pandemic.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Clients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top priority is to service and care for our current clients. During this period of highly volatile markets, we have worked to prudently manage or reduce market risk exposures.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taken actions to minimize risk to our employees, including restricting travel and providing secure and efficient remote work options for our team members. This leveraged our existing operational contingency plans at every level of the organization which ensured business process and control continuity. These actions have helped prevent major disruption to our clients and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Continuity Plans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deployed business continuity plans to ensure operational flexibility through any environment, including the ability to work remotely. We continue to serve our customers while maintaining social distancing and other safety protocols to keep our employees and customers safe.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full extent to which the COVID-19 pandemic will impact our business and operating results will depend on future developments that are highly uncertain and cannot be accurately predicted, including new information that may emerge concerning COVID-19 and the mitigation efforts by government entities, as well as our own immediate and continuing COVID-19 operational response. We have and will continue to take active and decisive steps in this time of uncertainty and remain committed to the safety of our employees, while also continuing to serve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$350 Million of Senior Secured Notes Due 2025 and Closing of Gain Acquisition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11, 2020, we closed on the offering of $350 million in aggregate principal amount of 8.625% Senior Secured Notes due 2025 (the “Notes”) at the offering price of 98.5% of the aggregate principal amount thereof. We used the net proceeds from the sale of the Notes to fund the cash consideration for the acquisition of Gain, to pay certain related transaction-related fees and expenses, and together with cash on hand, to fund the September 2020 repayment of $91.5 million of Gain’s 5.00% Convertible Senior Notes due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Highlights</w:t>
      </w:r>
    </w:p>
    <w:p>
      <w:pPr>
        <w:spacing w:after="0" w:line="12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records in operating revenues of $1,308.3 million, net operating revenues of $868.0 million, and net income of $169.6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return on average stockholders’ equity of 24.9%, exceeding our internal target of 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Rebranded the Company to StoneX Group Inc. and changed the NASDAQ ticker symbol to SNEX.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the issuance of $350 million Senior Secured Notes due 2025 to fund the purchase of Gain Capital Holding, Inc.</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Gain Capital Holdings, Inc., a global provider of trading services and solutions in spot foreign exchange, precious metals and CFDs in an all-cash transaction.</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the futures and options brokerage and clearing business of UOB Bullion and Futures Limited.</w:t>
      </w:r>
    </w:p>
    <w:p>
      <w:pPr>
        <w:spacing w:after="0" w:line="9" w:lineRule="exact"/>
        <w:rPr>
          <w:rFonts w:ascii="Times New Roman" w:cs="Times New Roman" w:eastAsia="Times New Roman" w:hAnsi="Times New Roman"/>
          <w:sz w:val="18"/>
          <w:szCs w:val="18"/>
          <w:color w:val="auto"/>
        </w:rPr>
      </w:pPr>
    </w:p>
    <w:p>
      <w:pPr>
        <w:ind w:left="660" w:right="64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acquisitions of the brokerage business of Tellimer Group, commodity risk manager IFCM Commodities GmbH, and online payment and foreign exchange service provider GIROXX GmbH.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Fiscal 2020 was a period marked with the global social and economic effects of the COVID-19 pandemic as well as well as two significant transactions for the Company, the acquisition of Gain Capital Holding, Inc. and the related $350 million Senior Secured Note offering. Beginning in the second quarter of fiscal 2020, we saw the effect of the COVID-19 pandemic on the global economy with heightened volatility and customer demand driving improved performance in our equity, fixed income and precious metals businesses which was partially offset by the effect of the actions of the Federal Open Market Committee (“FOMC”) to immediately reduce short term interest rates by 100 basis points in March 2020 in response to the economic effect of the pandemic as well as an increase in bad debt expense.</w:t>
      </w:r>
    </w:p>
    <w:p>
      <w:pPr>
        <w:spacing w:after="0" w:line="6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While this reduction of interest rates combined with FOMC actions in the first and second quarters of fiscal 2020 will result in a significant decline in interest income for the Company in the near future, we have been successful in continuing to grow our client balances, as average client equity increased 33% to $2.8 billion and average money-market/FDIC sweep balances increased 43% to $1.1 billion in fiscal 2020 as compared to the prior year.</w:t>
      </w:r>
    </w:p>
    <w:p>
      <w:pPr>
        <w:spacing w:after="0" w:line="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continued to diversify our business offering and client base with the acquisition of Gain in August of 2020. This acquisition significantly expands our retail distribution channel, adding over 130,000 new retail clients, that we had previously established with the acquisition of Sterne Agee’s independent wealth management business as well as the acquisitions of CoinInvest and European Precious Metals. This acquisition broadens our product offering and adds a global digital platform which we aim to expand across our asset classes. As part of this acquisition, we issued $350.0 million of Senior Secured Notes which was our first issuance into the institutional debt markets and we believe adds diversification to our capital structure.</w:t>
      </w:r>
    </w:p>
    <w:p>
      <w:pPr>
        <w:spacing w:after="0" w:line="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following a shareholder vote, we completed a rebranding of the company, changing our name to StoneX Group Inc., and our ticker symbol to SNEX. We believe the StoneX brand signals an exciting new phase for our Company, keeping our roots in the Stone name which dates back to 1924 while continuing to pursue our goal of becoming recognized as a best in class financial services franchise.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net income increased $84.5 million to a record $169.6 million in fiscal 2020 compared to $85.1 million in fiscal 2019. Diluted earnings per share were $8.61 for fiscal 2020 compared to $4.39 in fiscal 2019. The increases in net income and diluted earnings per shares were significantly impacted by a gain on the acquisition of Gain Capital Holdings, Inc., discussed further below.</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Overall segment income increased $89.4 million, or 29%, versus the prior year. This growth in segment income was led by our Institutional segment, which added $64.3 million, or 73% versus fiscal 2019. This growth was driven by a 65% increase in net operating revenues, most notably in securities products where we experienced heightened volatility in equity and fixed income markets related to COVID-19. This was partially offset by a $26.4 million decline in interest and fee income earned on average client equity and FDIC sweep balances as well as a $8.4 million increase in bad debts, net of recoveries and impairments.</w:t>
      </w:r>
    </w:p>
    <w:p>
      <w:pPr>
        <w:spacing w:after="0" w:line="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income in our Retail segment increased $25.3 million or 395% versus fiscal 2019, primarily as a result of the acquisition of Gain as well as strong performance in retail precious metals, which benefited from increased customer demand related to an increase in volatility and precious metals prices during fiscal 2020.</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Global Payments segment income increased $2.5 million, or 4% versus fiscal 2019, as average daily volumes were relatively flat with the prior year, as the effect of COVID-19 on global economic markets drove a decline in the number of debt-capital market related payments from our large international banking clients.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Finally, segment income in our Commercial segment, declined $2.7 million, or 2% versus fiscal 2019, as strong growth in net operating revenues from physical transactions, most notably precious metals were offset by a $14.5 million decline in interest income earned on client balances in our listed and OTC derivative businesses. In addition, we recorded a lower of cost or net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realizable adjustment for certain physical energy inventories as well as $7.2 million increase in bad debts, net of recoveries and impairment versus fiscal 2019. Also, fiscal 2019 included recoveries on the bad debt on physical coal of $12.4 million.</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before tax for fiscal 2020 was $206.7 million, an increase of $95.7 million, or 86% versus fiscal 2019 and includes an $81.8 million bargain purchase gain on the acquisition of Gain included in ‘Gain on acquisitions and other gains’ on the Consolidated Income Statement, while fiscal 2019 includes a $5.4 million bargain purchase on the acquisition of GMP Securities. These bargain purchase gains are non-taxable, and accordingly there is no corresponding income tax provision amount recorded related to the bargain purchase gains. When evaluating the acquisition of Gain, along with the bargain purchase amount recorded, management also considers the $9.6 million of acquisition related investment banking and legal fees during fiscal 2020 related to the transaction, as well as an impairment charge of $5.7 million related to capitalized software not yet placed into service, now expected to be duplicative and replaced with a system acquired as part of the Gain transaction. This impairment charge was included in the bad debts, net of recoveries and impairment expense noted above in our Commercial and Institutional segments as $1.6 million and $4.1 million,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Summary Financial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Set forth below is our discussion of the results of our operations, as viewed by management, for the fiscal years ended September 30, 2020, 2019, and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an overview of our financial results: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52,899.2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26,682.4</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189"/>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8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54,139.6</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27,622.7</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52,831.3</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26,646.9</w:t>
            </w:r>
          </w:p>
        </w:tc>
      </w:tr>
      <w:tr>
        <w:trPr>
          <w:trHeight w:val="18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r>
      <w:tr>
        <w:trPr>
          <w:trHeight w:val="189"/>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9"/>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2"/>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r>
      <w:tr>
        <w:trPr>
          <w:trHeight w:val="189"/>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 and impairments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8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r>
      <w:tr>
        <w:trPr>
          <w:trHeight w:val="189"/>
        </w:trPr>
        <w:tc>
          <w:tcPr>
            <w:tcW w:w="5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Gain on acquisitions and other gains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20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tables below present a disaggregation of consolidated operating revenues and select operating data and metrics used by management in evaluating our performance, for the periods indicated:</w:t>
      </w: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Contract for Difference (“CFD”) contracts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 payments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Unallocated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3"/>
        </w:trPr>
        <w:tc>
          <w:tcPr>
            <w:tcW w:w="534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975.8</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Volumes and Other Select Data (all $ amounts are U.S. dollar or U.S. dollar equivalents):</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154,652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129,487</w:t>
            </w:r>
          </w:p>
        </w:tc>
      </w:tr>
      <w:tr>
        <w:trPr>
          <w:trHeight w:val="189"/>
        </w:trPr>
        <w:tc>
          <w:tcPr>
            <w:tcW w:w="53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Over-the-counter (“OTC”) derivatives (contracts, 000’s)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89"/>
        </w:trPr>
        <w:tc>
          <w:tcPr>
            <w:tcW w:w="5340" w:type="dxa"/>
            <w:vAlign w:val="bottom"/>
          </w:tcPr>
          <w:p>
            <w:pPr>
              <w:ind w:left="340"/>
              <w:spacing w:after="0" w:line="189" w:lineRule="exact"/>
              <w:rPr>
                <w:sz w:val="20"/>
                <w:szCs w:val="20"/>
                <w:color w:val="auto"/>
              </w:rPr>
            </w:pPr>
            <w:r>
              <w:rPr>
                <w:rFonts w:ascii="Times New Roman" w:cs="Times New Roman" w:eastAsia="Times New Roman" w:hAnsi="Times New Roman"/>
                <w:sz w:val="14"/>
                <w:szCs w:val="14"/>
                <w:color w:val="auto"/>
              </w:rPr>
              <w:t xml:space="preserve">Securities rate per million (“RPM”) </w:t>
            </w:r>
            <w:r>
              <w:rPr>
                <w:rFonts w:ascii="Times New Roman" w:cs="Times New Roman" w:eastAsia="Times New Roman" w:hAnsi="Times New Roman"/>
                <w:sz w:val="18"/>
                <w:szCs w:val="18"/>
                <w:color w:val="auto"/>
                <w:vertAlign w:val="superscript"/>
              </w:rPr>
              <w:t>(2)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189"/>
        </w:trPr>
        <w:tc>
          <w:tcPr>
            <w:tcW w:w="5340" w:type="dxa"/>
            <w:vAlign w:val="bottom"/>
          </w:tcPr>
          <w:p>
            <w:pPr>
              <w:ind w:left="340"/>
              <w:spacing w:after="0" w:line="189" w:lineRule="exact"/>
              <w:rPr>
                <w:sz w:val="20"/>
                <w:szCs w:val="20"/>
                <w:color w:val="auto"/>
              </w:rPr>
            </w:pPr>
            <w:r>
              <w:rPr>
                <w:rFonts w:ascii="Times New Roman" w:cs="Times New Roman" w:eastAsia="Times New Roman" w:hAnsi="Times New Roman"/>
                <w:sz w:val="14"/>
                <w:szCs w:val="14"/>
                <w:color w:val="auto"/>
              </w:rPr>
              <w:t xml:space="preserve">FX / CFD contracts ADV (millions) </w:t>
            </w:r>
            <w:r>
              <w:rPr>
                <w:rFonts w:ascii="Times New Roman" w:cs="Times New Roman" w:eastAsia="Times New Roman" w:hAnsi="Times New Roman"/>
                <w:sz w:val="18"/>
                <w:szCs w:val="18"/>
                <w:color w:val="auto"/>
                <w:vertAlign w:val="superscript"/>
              </w:rPr>
              <w:t>(3)</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FX / CFD contracts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Global Payments ADV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Global Payments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w:t>
            </w:r>
          </w:p>
        </w:tc>
      </w:tr>
    </w:tbl>
    <w:p>
      <w:pPr>
        <w:spacing w:after="0" w:line="138" w:lineRule="exact"/>
        <w:rPr>
          <w:sz w:val="20"/>
          <w:szCs w:val="20"/>
          <w:color w:val="auto"/>
        </w:rPr>
      </w:pPr>
    </w:p>
    <w:p>
      <w:pPr>
        <w:ind w:left="440" w:hanging="414"/>
        <w:spacing w:after="0"/>
        <w:tabs>
          <w:tab w:leader="none" w:pos="4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Give-up fees as well as cash and voice brokerage revenues are excluded from the calculation of listed derivatives, average rate per contract.</w:t>
      </w:r>
    </w:p>
    <w:p>
      <w:pPr>
        <w:spacing w:after="0" w:line="25" w:lineRule="exact"/>
        <w:rPr>
          <w:rFonts w:ascii="Times New Roman" w:cs="Times New Roman" w:eastAsia="Times New Roman" w:hAnsi="Times New Roman"/>
          <w:sz w:val="16"/>
          <w:szCs w:val="16"/>
          <w:color w:val="auto"/>
          <w:vertAlign w:val="superscript"/>
        </w:rPr>
      </w:pPr>
    </w:p>
    <w:p>
      <w:pPr>
        <w:ind w:left="440" w:hanging="414"/>
        <w:spacing w:after="0" w:line="195" w:lineRule="auto"/>
        <w:tabs>
          <w:tab w:leader="none" w:pos="4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income related to securities lending is excluded from the calculation of Securities RPM.</w:t>
      </w:r>
    </w:p>
    <w:p>
      <w:pPr>
        <w:spacing w:after="0" w:line="26" w:lineRule="exact"/>
        <w:rPr>
          <w:rFonts w:ascii="Times New Roman" w:cs="Times New Roman" w:eastAsia="Times New Roman" w:hAnsi="Times New Roman"/>
          <w:sz w:val="16"/>
          <w:szCs w:val="16"/>
          <w:color w:val="auto"/>
          <w:vertAlign w:val="superscript"/>
        </w:rPr>
      </w:pPr>
    </w:p>
    <w:p>
      <w:pPr>
        <w:ind w:left="440" w:right="320" w:hanging="414"/>
        <w:spacing w:after="0" w:line="195" w:lineRule="auto"/>
        <w:tabs>
          <w:tab w:leader="none" w:pos="4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ADV for the year ended September 30, 2020 is reflective of the ADV of post-acquisition of Gain, and is calculated based on 43 trading days with the activities of Gain, acquired effective August 1, 2020, which is shown in our Retail segment, along with our pre-existing FX activities, which is shown in our Institutional segment, and had trading days of 260 during the current fiscal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increased 18% to $1,308.3 million in fiscal 2020 compared to $1,106.1 million in fiscal 2019.</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table above displays operating revenues disaggregated across the products in which we conduct our business. Operating revenues in listed derivatives increased 4%, or $11.4 million to $328.5 million in fiscal 2020 primarily a result of a 20% increase in listed derivative volumes while the average rate per contract declined 9%.</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revenues in OTC derivatives increased 13% to $111.2 million in fiscal 2020, driven by a 19% increase in OTC derivative volumes driven by heightened volatility in energy and renewable fuels markets.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 from Securities transactions increased 39% to $458.3 million in fiscal 2020, primarily as a result of a 20% increase in securities average daily volume (“ADV”) as well as a 23% increase in RPM, each of which were driven by heightened volatility in the global equity and fixed income markets due to economic concerns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from FX/CFD contracts increased 207% to $66.9 million in fiscal 2020, as a result of $42.9 million increase in retail FX/CFD contracts operating revenues driven by the acquisition of Gain in the fourth quarter fiscal 2020.</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revenues from global payments increased by 3% to $114.6 million in fiscal 2020, as a result of a 3% increase in RPM as the ADV was relatively flat with the prior year at $45 as the result global economic slowdown related to the COVID-19 pandemic.</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revenues from physical contracts increased 65% to $122.4 million in fiscal 2020, primarily due to a significant increase in customer demand for precious metals as well as a widening of spreads due to market dislocations related to the COVID-19 pandemic. This was partially offset by a $7.6 million lower of cost or net realizable value adjustment for certain physical inventories in energy commodities.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and OTC derivative businesses, as well as our correspondent clearing and independent wealth management businesses, declined 49% as compared to the prior year as a result of a significant declines in short term interest rates related to FOMC actions to reduce the federal funds rate beginning in August 2019. Partially offsetting the decline in short term interest rates was an increase in average client equity and average FDIC sweep client balances of 33% and 43%,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increased 13% to $1,106.1 million in fiscal 2019 compared to $975.8 million in fiscal 2018.</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table above displays operating revenues disaggregated across the products in which we conduct our business. Operating revenues in listed derivatives declined 7%, or $22.6 million to $317.1 million in fiscal 2019 primarily a result of a 7% decline in the average rate per contract in listed derivatives as contract volumes were relatively flat as compared to fiscal 2018.</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revenues in OTC derivatives increased 3% to $98.3 million in fiscal 2019, driven by a 12% increase in OTC derivative volumes as a result of an increase in agricultural and energy commodity volumes.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revenue from Securities transactions increased 33% to $329.3 million in fiscal 2019, primarily as a result of a 44% increase in securities ADV as RPM was relatively flat with fiscal 2018.</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revenues from FX Contracts increased 23% to $21.8 million in fiscal 2019 as compared to fiscal 2018. This increase was the result of a 27% increase in RPM versus 2018, which was partially offset by a 13% decline in ADV. In addition, fiscal 2019 includes a $2.7 million settlement received in the Barclays PLC ‘last look’ class action matter.</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revenues from global payments increased by 12% to $110.8 in fiscal 2019 as a result of a 7% increase in the ADV as well as a 4% increase in RPM as compared to fiscal 2018.</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revenues from physical contracts increased 30% to $74.0 million in fiscal 2019, primarily due to increased market volatility in global precious metals markets.</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and OTC derivative businesses, as well as our correspondent clearing and independent wealth management businesses, increased 33% as compared to the prior year as a result of an increase in short term interest rates as compared to fiscal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Transactional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Transaction-based clearing expenses: </w:t>
      </w:r>
      <w:r>
        <w:rPr>
          <w:rFonts w:ascii="Times New Roman" w:cs="Times New Roman" w:eastAsia="Times New Roman" w:hAnsi="Times New Roman"/>
          <w:sz w:val="18"/>
          <w:szCs w:val="18"/>
          <w:color w:val="auto"/>
        </w:rPr>
        <w:t>Transaction-based clearing expenses increased 21% to $222.5 million in fiscal 2020 compared to $183.5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2019, and were 17% of operating revenues in fiscal 2020 and fiscal 2019. The increase in expense primarily resulted from higher listed derivative contracts, higher clearing and exchange fees within Equity Capital Markets and incremental costs in Retail Forex related to the acquisition of Gain effective July 31, 2020.</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Introducing broker commissions: </w:t>
      </w:r>
      <w:r>
        <w:rPr>
          <w:rFonts w:ascii="Times New Roman" w:cs="Times New Roman" w:eastAsia="Times New Roman" w:hAnsi="Times New Roman"/>
          <w:sz w:val="18"/>
          <w:szCs w:val="18"/>
          <w:color w:val="auto"/>
        </w:rPr>
        <w:t>Introducing broker commissions decreased 1% to $113.8 million in fiscal 2020 compared to $114.7 million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and were 9% of operating revenues in fiscal 2020 compared to 10% in fiscal 2019. The decrease in expense is primarily due to decreased activity of listed derivatives within our Institutional and Commercial segments, partially offset by expense increases in our Retail segment due to incremental expense from the Gain acquisition and increased activity in our Independent Wealth Management business as a result of higher revenues.</w:t>
      </w:r>
    </w:p>
    <w:p>
      <w:pPr>
        <w:spacing w:after="0" w:line="6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Interest expense directly attributable to trading activities, interest expense on short-term financing facilities of subsidiaries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 interest expense of operating segments decreased $61.6 million, or 43%, to $80.4 million during fiscal 2020 compared to $142.0 million in fiscal 2019 primarily due to the impact of changes in the short-term interest rate environment. During fiscal 2020, interest expense directly associated with serving as an institutional dealer in fixed income securities decreased $40.4 million to $33.5 million compared to $73.9 million in fiscal 2019. Additionally, as a result of the impact of lower short-term interest rates, during fiscal 2020 interest expense directly attributable to securities lending activities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decreased $10.8 million to $25.0 million compared to $35.8 million in fiscal 2019 and interest expense on short-term financing facilities of subsidiaries and other direct interest expense of operating segments decreased $10.4 million to $21.9 million compared to $32.3 million, primarily from the decrease in short-term interest rates along with lower average borrowings outstanding on our physical commodities financing facilities.</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on corporate funding: </w:t>
      </w:r>
      <w:r>
        <w:rPr>
          <w:rFonts w:ascii="Times New Roman" w:cs="Times New Roman" w:eastAsia="Times New Roman" w:hAnsi="Times New Roman"/>
          <w:sz w:val="18"/>
          <w:szCs w:val="18"/>
          <w:color w:val="auto"/>
        </w:rPr>
        <w:t>Interest expense related to corporate funding purposes was $23.6 million in fiscal 2020 compared to $12.7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2019, primarily due to lower short-term interest rates, partially offset by incremental interest related to the issuance of senior secured notes during June 2020. On June 11, 2020, we completed the issuance and sale of $350 million in aggregate principal amount of the Company’s 8.625% Senior Secured Notes due 2025 at the offering price of 98.5% of the aggregate principal amount.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Transaction-based clearing expenses: </w:t>
      </w:r>
      <w:r>
        <w:rPr>
          <w:rFonts w:ascii="Times New Roman" w:cs="Times New Roman" w:eastAsia="Times New Roman" w:hAnsi="Times New Roman"/>
          <w:sz w:val="18"/>
          <w:szCs w:val="18"/>
          <w:color w:val="auto"/>
        </w:rPr>
        <w:t>Transaction-based clearing expenses increased 2% to $183.5 million in fiscal 2019 compared to $179.7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2018, and were 17% of operating revenues in fiscal 2019 compared to 18% in fiscal 2018. The increase in expense is primarily related to increases in ADR conversion fees and exchange fees, partially offset by lower transaction taxes, in our Equity Capital Markets component. Also, our Debt Capital Markets component had an increase in expenses related to our activities conducted as an institutional dealer in fixed income securities and from the acquisition of GMP Securities, LLC. Additionally, higher volumes in our LME component resulted in higher expenses. These increases were partially offset by a decrease in expense resulting from lower volumes in our Exchange-Traded Futures &amp; Options component.</w:t>
      </w:r>
    </w:p>
    <w:p>
      <w:pPr>
        <w:spacing w:after="0" w:line="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Introducing broker commissions: </w:t>
      </w:r>
      <w:r>
        <w:rPr>
          <w:rFonts w:ascii="Times New Roman" w:cs="Times New Roman" w:eastAsia="Times New Roman" w:hAnsi="Times New Roman"/>
          <w:sz w:val="18"/>
          <w:szCs w:val="18"/>
          <w:color w:val="auto"/>
        </w:rPr>
        <w:t>Introducing broker commissions decreased 14% to $114.7 million in fiscal 2019 compared to $133.8 million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and were 10% of operating revenues in fiscal 2019 compared to 14% in fiscal 2018. The decrease in the percentage of introducing broker commissions as a percentage of operating revenues is primarily a result of the growth in interest income. The decrease in expense is primarily due to decreased activity in our Exchange-Traded Futures &amp; Options component and lower costs in our Argentinian Debt Capital Markets business, partially offset by expense increases in our Financial Ag &amp; Energy and Independent Wealth Management components as a result of higher revenues.</w:t>
      </w:r>
    </w:p>
    <w:p>
      <w:pPr>
        <w:spacing w:after="0" w:line="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directly attributable to trading activities, interest expense on short-term financing facilities of subsidiaries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interest expense of operating segments increased $71.5 million, or 101%, to $142.0 million in fiscal 2019 compared to $70.5 million in fiscal 2018. As a result, during fiscal 2019, interest expense directly associated with serving as an institutional dealer in fixed income securities increased $35.3 million to $73.9 million compared to $38.6 million in fiscal 2018. As a result of the expansion in securities lending during fiscal 2019, interest expense directly attributable to securities lending activities increased $22.6 million to $35.8 million compared to $13.2 million in fiscal 2019. During fiscal 2019, interest expense on short-term financing facilities of subsidiaries and other direct interest expense of operating segments increased $13.6 million to $32.3 million compared to $18.7 million, primarily related to the increase in short-term rates resulting in higher costs in our Exchange-Traded Futures &amp; Options business, and higher short-term rates along with higher average borrowings outstanding on our physical commodities financing facilities resulted in increased expense.</w:t>
      </w:r>
    </w:p>
    <w:p>
      <w:pPr>
        <w:spacing w:after="0" w:line="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expense on corporate funding: </w:t>
      </w:r>
      <w:r>
        <w:rPr>
          <w:rFonts w:ascii="Times New Roman" w:cs="Times New Roman" w:eastAsia="Times New Roman" w:hAnsi="Times New Roman"/>
          <w:sz w:val="18"/>
          <w:szCs w:val="18"/>
          <w:color w:val="auto"/>
        </w:rPr>
        <w:t>Interest expense related to corporate funding purposes was $12.7 million in fiscal 2019 compared to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2018.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Revenues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operating revenues is one of the key measures used by management to assess the performance of our operating segments.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The table below presents a disaggregation of consolidated net operating revenues used by management in evaluating our performance, for the periods indicated:</w:t>
      </w: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CFD contracts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 Payments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8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 Unallocated</w:t>
            </w: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8"/>
        </w:trPr>
        <w:tc>
          <w:tcPr>
            <w:tcW w:w="5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revenues increased 33% to $868.0 million in fiscal 2020 compared to $653.2 million in fiscal 2019.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revenues increased 12% to $653.2 million in fiscal 2019 compared to $581.6 million in fiscal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expenses, other than interest and transactional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83"/>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r>
      <w:tr>
        <w:trPr>
          <w:trHeight w:val="18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3"/>
        </w:trPr>
        <w:tc>
          <w:tcPr>
            <w:tcW w:w="53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18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482.1</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Compensation and Other Expenses: </w:t>
      </w:r>
      <w:r>
        <w:rPr>
          <w:rFonts w:ascii="Times New Roman" w:cs="Times New Roman" w:eastAsia="Times New Roman" w:hAnsi="Times New Roman"/>
          <w:sz w:val="17"/>
          <w:szCs w:val="17"/>
          <w:color w:val="auto"/>
        </w:rPr>
        <w:t>Compensation and other expenses increased $195.5 million, or 36%, to $743.2 million in fiscal 2020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$547.7 million in fiscal 2019. Compensation and other expenses related to acquisitions and new business initiatives during fiscal 2020 added $76.2 million.</w:t>
      </w:r>
    </w:p>
    <w:p>
      <w:pPr>
        <w:spacing w:after="0" w:line="2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Total compensation and benefits expense increased $125.6 million, or 32%, to $518.7 million in fiscal 2020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$393.1 million in fiscal 2019. Total compensation and benefits were 40% of operating revenues in fiscal 2020 compared to 36% in fiscal 2019. The variable portion of compensation and benefits increased $85.2 million, or 40%, to $296.8 million in fiscal 2020 compared to $211.6 million in fiscal 2019. Variable compensation and benefits were 34% of net operating revenues in fiscal 2020 compared to 32% in fiscal 2019. The primary driver of the increase in variable compensation is the increased front office variable incentive compensation of $71.5 million. Additionally, administrative,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centralized and local operations and executive incentive compensation increased $13.7 million to $45.8 million in fiscal 2020 compared to $32.1 million in fiscal 2019, primarily due to increased headcount and company performance.</w:t>
      </w:r>
    </w:p>
    <w:p>
      <w:pPr>
        <w:spacing w:after="0" w:line="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fixed portion of compensation and benefits increased $40.4 million, or 22%, to $221.9 million in fiscal 2020 compared to $181.5 million in fiscal 2019. Non-variable salaries increased $30.7 million, or 24%, primarily due to our recent acquisitions and new business initiatives, which added $17.9 million in fiscal 2020. Employee benefits, excluding share-based compensation, increased $9.8 million in fiscal 2020, primarily related to higher payroll, health care and retirement costs from the increased headcount. Share-based compensation is a component of the fixed portion, and includes stock option and restricted stock expense. Share-based compensation was $10.3 million in fiscal 2020 compared to $8.1 million in fiscal 2019. The number of employees was 2,950 at the end of fiscal 2020 compared to 2,012 at the end of fiscal 2019, with the increase in headcount being primarily acquisition related.</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$69.9 million, or 45%, to $224.5 million in fiscal 2020 compared to $154.6 million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Other non-compensation expenses related to acquisitions and new business initiatives began after September 2018 added $27.7 million.</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Trading systems and market information costs increased $7.5 million, of which $6.1 million was related to incremental costs from recent acquisitions and new business initiatives. Professional fees increased $9.2 million, primarily related to acquisition-specific closing costs. Non-trading technology and support increased $8.3 million, primarily due to higher costs from non-trading software as a service arrangements related to various IT, client engagement, accounting and human resources systems, higher costs from external data center services, and incremental costs due to acquisitions and new business initiatives during fiscal 2020. Occupancy and equipment rental increased $4.1 million, primarily related to higher office lease costs of $3.7 million, including $1.5 million in incremental costs from recent acquisitions. Selling and marketing costs increased $7.0 million, primarily related to incremental costs from the acquisition of Gain, effective July 31, 2020. Travel and business development decreased $7.3 million primarily as a result of the impact of the response by governments and societies to the COVID-19 pandemic, which included social distancing; travel restrictions, “shelter in place” and other governmental regulations. Depreciation and amortization increased primarily due to higher depreciation expense of leaseholds and IT equipment, and higher amortization expense of intangible assets recorded as part of the acquisitions completed during fiscal 2020.</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Excluding the recovery of bad debt on physical coal discussed below, bad debts, net of recoveries and impairment increased $16.2 million year-over-year. During fiscal 2020, bad debts, net of recoveries were $13.0 million, primarily related to client trading account deficits in our Commercial, Institutional, and Retail segments of $3.5 million, $5.7 million, and $0.6 million, respectively. Additionally, we recorded bad debt expense of $3.2 million related to trade receivables with physical clients. During fiscal 2019, bad debts, net of recoveries were $2.5 million, primarily related to $2.7 million of OTC client account deficits, partially offset by a $1.4 million client recovery, in the Commercial segment and $1.4 million in the Institutional segment.</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integration of Gain, the Company re-evaluated all trading systems utilized across the organization in order to identify duplicative systems. In connection with this process, the Company determined that certain legacy capitalized developed software costs within our OTC foreign exchange and physical metals business would no longer be placed into service and utilized as expected prior to the merger with Gain. As a result, the Company recorded impairment charges of $5.7 million in fiscal 2020.</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(Recovery) Bad Debt on Physical Coal: </w:t>
      </w:r>
      <w:r>
        <w:rPr>
          <w:rFonts w:ascii="Times New Roman" w:cs="Times New Roman" w:eastAsia="Times New Roman" w:hAnsi="Times New Roman"/>
          <w:sz w:val="18"/>
          <w:szCs w:val="18"/>
          <w:color w:val="auto"/>
        </w:rPr>
        <w:t>During fiscal 2019, we recorded recoveries on the bad debt on physical coal of $12.4 million related to settlements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reached with clients and proceeds received through an insurance policy claim related to the physical coal matter, as described in further detail below.</w:t>
      </w:r>
    </w:p>
    <w:p>
      <w:pPr>
        <w:spacing w:after="0" w:line="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Gain on Acquisitions and Other Gains: </w:t>
      </w:r>
      <w:r>
        <w:rPr>
          <w:rFonts w:ascii="Times New Roman" w:cs="Times New Roman" w:eastAsia="Times New Roman" w:hAnsi="Times New Roman"/>
          <w:sz w:val="18"/>
          <w:szCs w:val="18"/>
          <w:color w:val="auto"/>
        </w:rPr>
        <w:t>The results of fiscal 2020 include a bargain purchase gain of $81.8 million related to the acquisition of Gain.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fiscal 2019 include bargain purchase gains of $5.5 million, primarily related to the acquisition of the former subsidiary GMP Securities LLC, which was subsequently merged into StoneX Financial Inc.</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The effective income tax rate was 18% in fiscal 2020 compared to 23% in fiscal 2019. The effective income tax rate for fiscal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lower than the U.S. federal statutory rate of 21% due to the non-taxable bargain purchase gain recognized upon the acquisition of Gain. State income tax, global intangible low-taxed income (“GILTI”), U.S. and foreign permanent differences, and an increase to foreign valuation allowances increased the effective income tax rate. The bargain purchase gain on acquisitions of $81.9 million is not taxable and reduced the effective income tax rate 8%. The estimated federal expense from GILTI increased the effective income tax rate approximately 0.7%. State income tax expense increased the effective income tax rate 1.0%. U.S. and foreign permanent differences increased the effective income tax rate approximately 1.4%. The increase in foreign valuation allowances also increased the effective income tax rate 1.0%. The effective income tax rate for fiscal 2019 was 23%. It was higher than the U.S. federal statutory rate of 21% due to GILTI, earnings taxed at a higher rate, foreign permanent differences, and an increase in foreign valuation allowances. The effective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700"/>
        <w:spacing w:after="0" w:line="404" w:lineRule="auto"/>
        <w:rPr>
          <w:sz w:val="20"/>
          <w:szCs w:val="20"/>
          <w:color w:val="auto"/>
        </w:rPr>
      </w:pPr>
      <w:r>
        <w:rPr>
          <w:rFonts w:ascii="Times New Roman" w:cs="Times New Roman" w:eastAsia="Times New Roman" w:hAnsi="Times New Roman"/>
          <w:sz w:val="18"/>
          <w:szCs w:val="18"/>
          <w:color w:val="auto"/>
        </w:rPr>
        <w:t xml:space="preserve">income tax rate can vary from period to period depending on, among other factors, the geographic and business mix of our earnings. </w:t>
      </w: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Compensation and Other Expenses: </w:t>
      </w:r>
      <w:r>
        <w:rPr>
          <w:rFonts w:ascii="Times New Roman" w:cs="Times New Roman" w:eastAsia="Times New Roman" w:hAnsi="Times New Roman"/>
          <w:sz w:val="17"/>
          <w:szCs w:val="17"/>
          <w:color w:val="auto"/>
        </w:rPr>
        <w:t>Compensation and other expenses increased $65.6 million, or 14%, to $547.7 million in fiscal 2019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$482.1 million in fiscal 2018. Compensation and other expenses related to acquisitions and new business initiatives during fiscal 2019 added $25.3 million.</w:t>
      </w:r>
    </w:p>
    <w:p>
      <w:pPr>
        <w:spacing w:after="0" w:line="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Total compensation and benefits expenses increased $55.4 million, or 16% to $393.1 million in fiscal 2019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$337.7 million in fiscal 2018. Total compensation and benefits were 36% of operating revenues in fiscal 2019 compared to 35% in fiscal 2018. The variable portion of compensation and benefits increased $37.5 million, or 22%, to $211.6 million in fiscal 2019 compared to $174.1 million in fiscal 2018. Variable compensation and benefits were 32% of net operating revenues in fiscal 2019 compared to 30% in fiscal 2018. The primary driver of the increase in variable compensation is the increased front office variable incentive compensation of $31.7 million. Additionally, administrative, centralized operations and executive incentive compensation increased $5.8 million to $30.4 million in fiscal 2019 compared to $24.6 million in fiscal 2018, primarily due to increased headcount and company performance.</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fixed portion of compensation and benefits increased $17.9 million, or 11% to $181.5 million in fiscal 2019 compared to $163.6 million in fiscal 2018. Non-variable salaries increased $11.5 million, or 10%, primarily due to our recent acquisitions and new business initiatives, which added $8.0 million in fiscal 2019. Employee benefits, excluding share-based compensation, increased $7.0 million in fiscal 2019, primarily related to higher payroll, health care and retirement costs from the increased headcount. Share-based compensation is a component of the fixed portion, and includes stock option and restricted stock expense. Share-based compensation was $8.1 million in fiscal 2019 compared to $6.6 million in fiscal 2018. The number of employees was 2,012 at the end of fiscal 2019 compared to 1,701 at the end of fiscal 2018.</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$10.2 million, or 7% to $154.6 million in fiscal 2019 compared to $144.4 million in fiscal 2018.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non-compensation expenses related to acquisitions and new business initiatives during fiscal 2019 added $7.9 million.</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Trading systems and market information costs increased $4.1 million, primarily due to higher costs in our Financial Ag &amp; Energy, Equity Capital Markets and Debt Capital Markets businesses, including $1.5 million in incremental costs due to acquisitions and new business initiatives during fiscal 2019. Occupancy and equipment rental increased $2.9 million, primarily related to higher office lease costs, including $1.1 million in incremental costs of office space from recent acquisitions during fiscal 2019. Professional fees increased $2.9 million, primarily related to higher legal fees, including $1.0 million of contingency-based legal fees resulting from successful outcomes of monetary collections. Non-trading technology and support increased $6.2 million, primarily due to higher support and maintenance costs related to various IT, client engagement, accounting and human resources systems, as well as $0.8 million in incremental costs due to acquisitions and new business initiatives during fiscal 2019. Depreciation and amortization increased primarily due to higher depreciation expense of leaseholds and IT equipment, and higher amortization expense of intangible assets recorded as part of the acquisitions completed during fiscal 2019. Communications expenses increased $1.2 million, primarily related to incremental costs due to acquisitions during fiscal 2019.</w:t>
      </w:r>
    </w:p>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Excluding the recovery of bad debt on physical coal discussed below, bad debts, net of recoveries decreased $0.6 million year-over-year. During fiscal 2019, bad debts, net of recoveries were $2.5 million, primarily related to $2.7 million of OTC client account deficits in the Commercial segment, and $1.4 million in the Institutional segment, partially offset by a $1.4 million client recovery in the Commercial segment. During fiscal 2018, bad debts, net of recoveries were $3.1 million, primarily related to $2.8 million of agricultural OTC client account deficits in our Commercial segment and $0.4 million of exchange-traded client account deficits in our Institutional segment.</w:t>
      </w: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(Recovery) Bad Debt on Physical Coal: </w:t>
      </w:r>
      <w:r>
        <w:rPr>
          <w:rFonts w:ascii="Times New Roman" w:cs="Times New Roman" w:eastAsia="Times New Roman" w:hAnsi="Times New Roman"/>
          <w:sz w:val="18"/>
          <w:szCs w:val="18"/>
          <w:color w:val="auto"/>
        </w:rPr>
        <w:t>During fiscal 2019, we reached settlements with clients, paying $8.4 million related to demurrage, dead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penalty charges regarding coal supplied during fiscal 2017. The settlement amounts paid were less than the accrued liabilities for the transactions recorded during fiscal 2017 and fiscal 2018, and accordingly we recorded a recovery on the bad debt on physical coal of $2.4 million. Additionally, in September 2019, we received $10.0 million through an insurance policy claim related to the physical coal matter, and recorded the insurance proceeds as an additional recovery. During fiscal 2018, we recorded additional bad debt expense of $1.0 million related to reimbursement due to us from a coal supplier following our recorded charge of $47.0 million during fiscal 2017.</w:t>
      </w:r>
    </w:p>
    <w:p>
      <w:pPr>
        <w:spacing w:after="0" w:line="7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Gain on Acquisitions and Other Gains: </w:t>
      </w:r>
      <w:r>
        <w:rPr>
          <w:rFonts w:ascii="Times New Roman" w:cs="Times New Roman" w:eastAsia="Times New Roman" w:hAnsi="Times New Roman"/>
          <w:sz w:val="18"/>
          <w:szCs w:val="18"/>
          <w:color w:val="auto"/>
        </w:rPr>
        <w:t>The results of fiscal 2019 included bargain purchase gains of $5.5 million, primarily related to the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INTL FCStone Credit Trading, LLC (formerly GMP Securities LLC). The fiscal 2018 results included a gain of $2.0 million related to a judgment received in final settlement of our claim in the Sentinel Management Group Inc. bankruptcy proceeding.</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The effective income tax rate was 23% in fiscal 2019 compared to 45% in fiscal 2018. The effective income tax rate for fiscal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higher than the U.S. federal statutory rate of 21% due to GILTI earnings taxed at a higher rate, foreign permanent differences and an increase to foreign valuation allowances. The estimated federal and state tax expense from GILTI increased the effective income tax rate approximately 2%. The bargain purchase gain on acquisitions of $5.5 million was not taxable and reduced the effective income tax rate 1%. The amount of earnings taxed at higher tax rates increased the effective income tax rate 1%, and the increase in foreign valuation allowances also increased the effective income tax rate 1%. The effective income tax rate for fiscal 2018 excluding the impacts of the Tax Reform was 26%. The effective income tax rate decreased 0.5% due to excess tax benefits on share-based compensation recognized during the period related to the adoption of ASU 2016-09. The effective income tax rate can vary from period to period depending on, among other factors, the geographic and business mix of our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Costs and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is a breakout of our unallocated costs and expenses from the total costs and expenses shown above. The unallocated costs and expenses include certain shared services such as information technology, accounting and treasury, credit and risk, legal and compliance, and human resources and other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183"/>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8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3"/>
        </w:trPr>
        <w:tc>
          <w:tcPr>
            <w:tcW w:w="53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18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unallocated costs and other expenses increased $56.4 million to $245.8 million in fiscal 2020 compared to $189.4 million in fiscal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increased $26.8 million, or 27%, to $127.3 million in fiscal 2020 compared to $100.5 million in fiscal 2019.</w:t>
      </w:r>
    </w:p>
    <w:p>
      <w:pPr>
        <w:spacing w:after="0" w:line="9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During fiscal 2020, the increase in fixed compensation and benefits was primarily related to a 35% increase in headcount across several administrative departments, including IT, compliance and accounting, of which 61% of the increase in headcount was acquisition related, adding $5.4 million. The increase in variable compensation and benefits was primarily due to improved overall company performance, along with an incremental $3.4 million related to recent acquisitions.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non-compensation expenses related to acquisitions and new business initiatives began after fiscal 2018 added $11.0 million. During the fiscal year ended, the increase in fixed compensation and benefits and variable compensation and benefits is also related to headcount increases across several administrative departments. Additionally, non-trading technology and support increased due to higher support and maintenance costs related to various IT, client engagement, accounting and human resources systems.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unallocated costs and other expenses increased $27.2 million to $189.4 million in fiscal 2019 compared to $162.2 million in fiscal 2018. Compensation and benefits increased $14.2 million, or 16% to $100.5 million in fiscal 2019 compared to $86.3 million in fiscal 2018, of which $2.2 million relates to recent acquisitions. Other non-compensation expenses related to acquisitions and new business initiatives during fiscal 2019 added $3.6 million.</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fiscal year ended, the increase in fixed compensation and benefits and variable compensation and benefits is also related to headcount increases across several administrative departments. Additionally, non-trading technology and support increased due to higher support and maintenance costs related to various IT, client engagement, accounting and human resources systems.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vs. Fixed Expenses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make our non-interest expenses variable to the greatest extent possible, and to keep our fixed costs as low as possible. The table below sets forth our variable expenses and non-variable expenses as a percentage of total non-interest expenses for the periods indicted.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1160" w:type="dxa"/>
            <w:vAlign w:val="bottom"/>
            <w:gridSpan w:val="2"/>
          </w:tcPr>
          <w:p>
            <w:pPr>
              <w:ind w:left="380"/>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1"/>
                <w:szCs w:val="11"/>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1180" w:type="dxa"/>
            <w:vAlign w:val="bottom"/>
            <w:gridSpan w:val="2"/>
          </w:tcPr>
          <w:p>
            <w:pPr>
              <w:ind w:left="380"/>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1"/>
                <w:szCs w:val="11"/>
                <w:color w:val="auto"/>
              </w:rPr>
            </w:pPr>
          </w:p>
        </w:tc>
        <w:tc>
          <w:tcPr>
            <w:tcW w:w="1060" w:type="dxa"/>
            <w:vAlign w:val="bottom"/>
          </w:tcPr>
          <w:p>
            <w:pPr>
              <w:jc w:val="right"/>
              <w:ind w:right="308"/>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2"/>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1,079.5</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variable expenses include variable compensation paid to traders and risk management consultants, bonuses paid to operational, administrative, and executive employees, transaction-based clearing expenses and introducing broker commissions. As a percentage of total non-interest expenses, variable expenses were 59% in fiscal 2020, 61% in fiscal 2019 and 61% in fiscal 2018.</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2020, non-variable expenses, excluding bad debts, net of recovery and impairment and the recovery of bad debt on physical coal, increased $81.7 million, or 24%, compared to fiscal 2019, primarily driven by incremental costs from the acquisitions of UOB Bullion and Futures Limited, Tellimer, GIROXX, and Gain during the year, as well as certain transaction costs related to our acquisition of Gain. We view these acquisitions as long-term strategic decisions, and in aggregate, these acquisitions and expansion efforts resulted in pre-tax net income of $13.8 million during fiscal 2020.</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2019, non-variable expenses, excluding bad debts, net of recoveries and the recoveries and bad debt on physical coal, increased $42.1 million, or 14%, compared to fiscal 2018, primarily driven by our acquisitions of Carl Kliem S.A., PayCommerce Financial Solutions, LLC, CoinInvest GmbH, European Precious Metal Trading GmbH and GMP Securities LLC, as well as the launch of our securities prime brokerage initiative and our expansion efforts in Canada. We viewed these acquisitions and expansion efforts as long-term strategic decisions, and in aggregate, these acquisitions and expansion efforts resulted in a pre-tax net loss of $10.3 million during fiscal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2020, we completed the acquisition of Gain Capital Group Inc. (“Gain”), which we view as a significant acquisition and which triggered a reassessment of the financial information reviewed by our executive management team, which is considered our Chief Operating Decision Maker, on a regular basis, and which is used to make resource allocation decisions. The acquisition of Gain added a significant amount of incremental business from a new client type – retail. Prior to the acquisition, Gain was a publicly traded corporation in the United States, and reported its performance along two reportable segments: retail and futures, in its periodic reporting with the SEC. We have existing businesses with activities similar to Gain’s futures business. Gain’s retail business however, represents a fundamental change in our business strategy.</w:t>
      </w:r>
    </w:p>
    <w:p>
      <w:pPr>
        <w:spacing w:after="0" w:line="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light of this fundamental change and reassessment described above, we have modified the operating segments we use to evaluate our performance. Accordingly, our operating segments are now based primarily on the nature of the clients we serve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(commercial, institutional, and retail), and a fourth operating segment, our global payments business. We manage our business in this manner due to our large global footprint, in which we have more than 2,900 employees allowing us to serve clients in more than 180 countries.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Following the acquisition of Gain, our business activities are managed as operating segments and organized into reportable segments as shown below. All segment information has been revised to reflect the operating segment reorganization retroactive to October 1, 2017.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Commercial</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Financial Ag</w:t>
      </w:r>
    </w:p>
    <w:p>
      <w:pPr>
        <w:ind w:left="140"/>
        <w:spacing w:after="0"/>
        <w:rPr>
          <w:sz w:val="20"/>
          <w:szCs w:val="20"/>
          <w:color w:val="auto"/>
        </w:rPr>
      </w:pPr>
      <w:r>
        <w:rPr>
          <w:rFonts w:ascii="Times New Roman" w:cs="Times New Roman" w:eastAsia="Times New Roman" w:hAnsi="Times New Roman"/>
          <w:sz w:val="18"/>
          <w:szCs w:val="18"/>
          <w:color w:val="auto"/>
        </w:rPr>
        <w:t>&amp; Energy</w:t>
      </w:r>
    </w:p>
    <w:p>
      <w:pPr>
        <w:ind w:left="140"/>
        <w:spacing w:after="0" w:line="229" w:lineRule="auto"/>
        <w:rPr>
          <w:sz w:val="20"/>
          <w:szCs w:val="20"/>
          <w:color w:val="auto"/>
        </w:rPr>
      </w:pPr>
      <w:r>
        <w:rPr>
          <w:rFonts w:ascii="Times New Roman" w:cs="Times New Roman" w:eastAsia="Times New Roman" w:hAnsi="Times New Roman"/>
          <w:sz w:val="18"/>
          <w:szCs w:val="18"/>
          <w:color w:val="auto"/>
        </w:rPr>
        <w:t>Physical Ag</w:t>
      </w:r>
    </w:p>
    <w:p>
      <w:pPr>
        <w:spacing w:after="0" w:line="1" w:lineRule="exact"/>
        <w:rPr>
          <w:sz w:val="20"/>
          <w:szCs w:val="20"/>
          <w:color w:val="auto"/>
        </w:rPr>
      </w:pPr>
    </w:p>
    <w:p>
      <w:pPr>
        <w:ind w:left="140" w:right="920" w:firstLine="7"/>
        <w:spacing w:after="0" w:line="356" w:lineRule="auto"/>
        <w:tabs>
          <w:tab w:leader="none" w:pos="3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Precious Metals</w:t>
      </w:r>
    </w:p>
    <w:p>
      <w:pPr>
        <w:ind w:left="140"/>
        <w:spacing w:after="0" w:line="227" w:lineRule="auto"/>
        <w:rPr>
          <w:sz w:val="20"/>
          <w:szCs w:val="20"/>
          <w:color w:val="auto"/>
        </w:rPr>
      </w:pPr>
      <w:r>
        <w:rPr>
          <w:rFonts w:ascii="Times New Roman" w:cs="Times New Roman" w:eastAsia="Times New Roman" w:hAnsi="Times New Roman"/>
          <w:sz w:val="18"/>
          <w:szCs w:val="18"/>
          <w:color w:val="auto"/>
        </w:rPr>
        <w:t>Derivative Voice</w:t>
      </w:r>
    </w:p>
    <w:p>
      <w:pPr>
        <w:ind w:left="140"/>
        <w:spacing w:after="0"/>
        <w:rPr>
          <w:sz w:val="20"/>
          <w:szCs w:val="20"/>
          <w:color w:val="auto"/>
        </w:rPr>
      </w:pPr>
      <w:r>
        <w:rPr>
          <w:rFonts w:ascii="Times New Roman" w:cs="Times New Roman" w:eastAsia="Times New Roman" w:hAnsi="Times New Roman"/>
          <w:sz w:val="18"/>
          <w:szCs w:val="18"/>
          <w:color w:val="auto"/>
        </w:rPr>
        <w:t>Brokerage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19685</wp:posOffset>
            </wp:positionV>
            <wp:extent cx="6214745" cy="1997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14745" cy="1997710"/>
                    </a:xfrm>
                    <a:prstGeom prst="rect">
                      <a:avLst/>
                    </a:prstGeom>
                    <a:noFill/>
                  </pic:spPr>
                </pic:pic>
              </a:graphicData>
            </a:graphic>
          </wp:anchor>
        </w:drawing>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auto"/>
              <w:bottom w:val="single" w:sz="8" w:color="auto"/>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1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Global Payments</w:t>
            </w:r>
          </w:p>
        </w:tc>
        <w:tc>
          <w:tcPr>
            <w:tcW w:w="0" w:type="dxa"/>
            <w:vAlign w:val="bottom"/>
          </w:tcPr>
          <w:p>
            <w:pPr>
              <w:spacing w:after="0"/>
              <w:rPr>
                <w:sz w:val="1"/>
                <w:szCs w:val="1"/>
                <w:color w:val="auto"/>
              </w:rPr>
            </w:pPr>
          </w:p>
        </w:tc>
      </w:tr>
      <w:tr>
        <w:trPr>
          <w:trHeight w:val="205"/>
        </w:trPr>
        <w:tc>
          <w:tcPr>
            <w:tcW w:w="26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4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0" w:type="dxa"/>
            <w:vAlign w:val="bottom"/>
          </w:tcPr>
          <w:p>
            <w:pPr>
              <w:spacing w:after="0"/>
              <w:rPr>
                <w:sz w:val="1"/>
                <w:szCs w:val="1"/>
                <w:color w:val="auto"/>
              </w:rPr>
            </w:pPr>
          </w:p>
        </w:tc>
      </w:tr>
      <w:tr>
        <w:trPr>
          <w:trHeight w:val="180"/>
        </w:trPr>
        <w:tc>
          <w:tcPr>
            <w:tcW w:w="264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Equity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Retail Forex</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Global Payments</w:t>
            </w: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640" w:type="dxa"/>
            <w:vAlign w:val="bottom"/>
            <w:tcBorders>
              <w:left w:val="single" w:sz="8" w:color="auto"/>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Debt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Retail Precious Metals</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Payment Technology</w:t>
            </w: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99"/>
        </w:trPr>
        <w:tc>
          <w:tcPr>
            <w:tcW w:w="2640" w:type="dxa"/>
            <w:vAlign w:val="bottom"/>
            <w:tcBorders>
              <w:left w:val="single" w:sz="8" w:color="auto"/>
              <w:right w:val="single" w:sz="8" w:color="auto"/>
            </w:tcBorders>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14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64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FX Prime Brokerage</w:t>
            </w:r>
          </w:p>
        </w:tc>
        <w:tc>
          <w:tcPr>
            <w:tcW w:w="16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gridSpan w:val="2"/>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Wealth Management</w:t>
            </w:r>
          </w:p>
        </w:tc>
        <w:tc>
          <w:tcPr>
            <w:tcW w:w="14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4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Exchange-Traded</w:t>
            </w: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640" w:type="dxa"/>
            <w:vAlign w:val="bottom"/>
            <w:tcBorders>
              <w:left w:val="single" w:sz="8" w:color="auto"/>
              <w:right w:val="single" w:sz="8" w:color="auto"/>
            </w:tcBorders>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4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Futures &amp; Options</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Correspondent</w:t>
            </w: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Clearing</w:t>
            </w:r>
          </w:p>
        </w:tc>
        <w:tc>
          <w:tcPr>
            <w:tcW w:w="16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2">
            <w:col w:w="2220" w:space="720"/>
            <w:col w:w="8300"/>
          </w:cols>
          <w:pgMar w:left="320" w:top="121" w:right="339" w:bottom="1440" w:gutter="0" w:footer="0" w:header="0"/>
          <w:type w:val="continuous"/>
        </w:sect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 is calculated as operating revenue less transaction-based clearing expenses, introducing broker commissions and interest expense.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is calculated as net operating revenues less variable compensation. Variable compensation paid to risk management consultants and traders generally represents a fixed percentage, that can vary by revenue type, of an amount equal to revenues generated, and in some cases, revenues generated less transaction-based clearing expenses, base salaries and an overhead allocation.</w:t>
      </w:r>
    </w:p>
    <w:p>
      <w:pPr>
        <w:spacing w:after="0" w:line="68"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Segment Results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concerning all of our business segments on a combined basis, excluding unallocated overhead,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1"/>
                <w:szCs w:val="11"/>
                <w:color w:val="auto"/>
              </w:rPr>
            </w:pPr>
          </w:p>
        </w:tc>
        <w:tc>
          <w:tcPr>
            <w:tcW w:w="9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52,899.2</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31,830.3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26,682.4</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54,144.3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32,901.3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27,618.3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52,831.3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31,790.9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26,646.9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1,313.0</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contribution for all of our business segments increased 32% to $639.5 million in fiscal 2020 compared to $482.8 million in fiscal 2019. Segment income increased 29% to $395.1 million in fiscal 2020 compared to $305.7 million in fiscal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contribution for all of our business segments increased 12% to $482.8 million in fiscal 2019 compared to $432.4 million in fiscal 2018. Segment income increased 17% to $305.7 million in fiscal 2019 compared to $261.9 million in fiscal 2018.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the opportunity to retain our clients.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Commercial segment,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52,593.9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26,682.4</w:t>
            </w:r>
          </w:p>
        </w:tc>
      </w:tr>
      <w:tr>
        <w:trPr>
          <w:trHeight w:val="18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189"/>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8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52,970.1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27,018.7</w:t>
            </w:r>
          </w:p>
        </w:tc>
      </w:tr>
      <w:tr>
        <w:trPr>
          <w:trHeight w:val="18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52,538.6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26,646.9</w:t>
            </w:r>
          </w:p>
        </w:tc>
      </w:tr>
      <w:tr>
        <w:trPr>
          <w:trHeight w:val="18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w:t>
            </w:r>
          </w:p>
        </w:tc>
      </w:tr>
      <w:tr>
        <w:trPr>
          <w:trHeight w:val="189"/>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8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w:t>
            </w:r>
          </w:p>
        </w:tc>
      </w:tr>
      <w:tr>
        <w:trPr>
          <w:trHeight w:val="18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r>
      <w:tr>
        <w:trPr>
          <w:trHeight w:val="18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r>
      <w:tr>
        <w:trPr>
          <w:trHeight w:val="189"/>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8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89"/>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20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8"/>
        </w:trPr>
        <w:tc>
          <w:tcPr>
            <w:tcW w:w="5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27,587</w:t>
            </w:r>
          </w:p>
        </w:tc>
      </w:tr>
      <w:tr>
        <w:trPr>
          <w:trHeight w:val="189"/>
        </w:trPr>
        <w:tc>
          <w:tcPr>
            <w:tcW w:w="53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Over-the-counter (“OTC”) derivatives (contracts, 000’s)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187"/>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r>
    </w:tbl>
    <w:p>
      <w:pPr>
        <w:ind w:left="180" w:hanging="154"/>
        <w:spacing w:after="0" w:line="199" w:lineRule="auto"/>
        <w:tabs>
          <w:tab w:leader="none" w:pos="1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fees as well as cash and voice brokerage are excluded from the calculation of listed derivatives, average rate per contract.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23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revenues increased 7% to $431.5 million in fiscal 2020 compared to $404.4 million in fiscal 2019. Net operating revenues increased 10% to $353.4 million in fiscal 2020 compared to $321.2 million in fiscal 2019.</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operating revenues derived from physical transactions led the overall increase, benefiting from a significant increase in customer demand for precious metals and a widening of spreads due to market dislocations related to the COVID-19 global pandemic and the resulting effect on the global precious metals market. Partially offsetting the increase in physical contract operating revenues, we recorded lower of cost or net realizable value adjustments for certain physical inventories of crude oil and low sulfur fuel oil primarily based on quality degradation and consideration of costs to sell of $7.6 million. These adjustments are included in ‘cost of sales of physical commodities’. We are attempting to recover this write down from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supplier, however there is substantial uncertainty as to whether we will be successful. We continues to pursue all legal avenues available to us regarding this matter.</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derived from OTC transactions were driven by a 19% increase in OTC volumes, which was partially offset by a 5% decline in the average rate per contract. The increase in OTC revenues was primarily driven by an increase in energy and renewable fuels operating revenues as a result of increased volatility caused by economic concerns over the COVID-19 pandemic.</w:t>
      </w:r>
    </w:p>
    <w:p>
      <w:pPr>
        <w:spacing w:after="0" w:line="68"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decrease in operating revenues derived from listed derivatives was primarily driven by a $13.6 million decline in derivative voice brokerage revenues. Derivative voice brokerage data is not included in the listed derivatives volume or average rate per contract in the select data table above. This decline was partially offset by a 5% increase in listed derivatives contract volumes while the average rate per contract was relatively flat with the prior year period.</w:t>
      </w:r>
    </w:p>
    <w:p>
      <w:pPr>
        <w:spacing w:after="0" w:line="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declined 50% as compared to the prior year as a result of a significant declines in short term interest rates related to FOMC actions to reduce the federal funds rate beginning in August 2019. Partially offsetting the decline in short term interest rates was an 8% increase in average client equity to $1,019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41% in fiscal 2020 compared to 40% in fiscal 2019.</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2020, we recorded bad debts, net of recoveries of $6.7 million, including $3.2 million related to trade receivables with physical clients and $3.5 million related to client deficits in our OTC and listed derivatives businesses. Also, in fiscal 2020 we recorded an impairment charge of $1.6 million related to capitalized development on a back-office software system not yet placed into service, that is now expected to be replaced with an alternative system we acquired as part of our acquisition of Gain.</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2019, we recorded recoveries on the bad debt on physical coal of $12.4 million related to settlements reached with clients and proceeds received through an insurance policy claim related to the physical coal matter, as described further detail below.</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Segment income decreased 2% to $141.9 million in fiscal 2020 compared to $144.6 million in fiscal 2019, as growth in operating revenues were offset by the bad debts, impairment, and impact of fiscal 2019’s recovery. Fixed compensation and benefits and other fixed expenses increased modestly.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revenues increased 9% to 404.4 million in fiscal 2019 compared to 371.8 million in fiscal 2018. Net operating revenues increased 7% to 321.2 in fiscal 2019 compared to 299.4 in fiscal 2018.</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operating revenues derived from listed derivatives was due to a 1% increase in cleared listed derivatives contract volumes as well as a 2% increase in the average rate per contract.</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OTC transactions increased 3% to $98.3 million in fiscal 2019 as compared to $95.3 million in fiscal 2018. This was driven by a 12% increase in OTC volumes which was partially offset by an 8% decline in the average rate per contract compared to the prior year. The increase in OTC revenues was a result of increased activity in agricultural markets, particularly in grain and coffee markets in Brazil and Latin America as well as in energy and renewable fuels. These increases were offset by lower OTC revenues in cotton and food service and dairy markets.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revenues from physical transactions increased 29% to $73.5 million in fiscal 2019 compared to $56.9 million in fiscal 2018. This increase was primarily driven by increased market volatility in global precious metals markets as well as increased physical volumes on our electronic platform.</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27% as compared to the prior year as a result of an increase in short term interest rates as average client equity was relatively flat as compared to fiscal 2018 at $948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40% in both fiscal 2019 and 2018.</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2019, we reached settlements with clients, paying $8.4 million related to demurrage, dead freight, and other penalty charges regarding coal supplied during fiscal 2017. The settlement amounts paid were less than the accrued liability for the transactions recorded during fiscal 2017 and fiscal 2018, and accordingly we recorded a recovery on the bad debt on physical coal of $2.4 million. In September 2019, we received $10.0 million through an insurance policy claim related to the physical coal matter, and recorded the insurance proceeds as an additional recovery. Fiscal 2018 included $1.0 million of bad debt on physical coal related to our exit of the physical coal business.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Segment income increased 22% to $144.6 million in fiscal 2019 compared to $118.3 million in fiscal 2018 driven by the increase in operating revenues as well as the recovery on the bad debt on physical coal. The increase in operating revenues was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80"/>
        <w:spacing w:after="0" w:line="375" w:lineRule="auto"/>
        <w:rPr>
          <w:sz w:val="20"/>
          <w:szCs w:val="20"/>
          <w:color w:val="auto"/>
        </w:rPr>
      </w:pPr>
      <w:r>
        <w:rPr>
          <w:rFonts w:ascii="Times New Roman" w:cs="Times New Roman" w:eastAsia="Times New Roman" w:hAnsi="Times New Roman"/>
          <w:sz w:val="18"/>
          <w:szCs w:val="18"/>
          <w:color w:val="auto"/>
        </w:rPr>
        <w:t xml:space="preserve">partially offset by a $4.7 million increase in interest expense as well as a $2.6 million increase in non-variable compensation and benefits. </w:t>
      </w:r>
      <w:r>
        <w:rPr>
          <w:rFonts w:ascii="Times New Roman" w:cs="Times New Roman" w:eastAsia="Times New Roman" w:hAnsi="Times New Roman"/>
          <w:sz w:val="18"/>
          <w:szCs w:val="18"/>
          <w:b w:val="1"/>
          <w:bCs w:val="1"/>
          <w:color w:val="auto"/>
        </w:rPr>
        <w:t>Institutional</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Institutional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21"/>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9"/>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3"/>
        </w:trPr>
        <w:tc>
          <w:tcPr>
            <w:tcW w:w="53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 (all $ amounts are U.S. dollar equivalents):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101,900</w:t>
            </w:r>
          </w:p>
        </w:tc>
      </w:tr>
      <w:tr>
        <w:trPr>
          <w:trHeight w:val="189"/>
        </w:trPr>
        <w:tc>
          <w:tcPr>
            <w:tcW w:w="532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89"/>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ADV (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89"/>
        </w:trPr>
        <w:tc>
          <w:tcPr>
            <w:tcW w:w="53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Securities RPM </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9"/>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18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 ADV (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r>
      <w:tr>
        <w:trPr>
          <w:trHeight w:val="184"/>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 contracts RPM</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ind w:left="160" w:hanging="134"/>
        <w:spacing w:after="0" w:line="215" w:lineRule="auto"/>
        <w:tabs>
          <w:tab w:leader="none" w:pos="16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Give-up fee revenue are excluded from the calculation of listed derivative, average rate per contract.</w:t>
      </w:r>
    </w:p>
    <w:p>
      <w:pPr>
        <w:spacing w:after="0" w:line="25" w:lineRule="exact"/>
        <w:rPr>
          <w:rFonts w:ascii="Times New Roman" w:cs="Times New Roman" w:eastAsia="Times New Roman" w:hAnsi="Times New Roman"/>
          <w:sz w:val="16"/>
          <w:szCs w:val="16"/>
          <w:color w:val="auto"/>
          <w:vertAlign w:val="superscript"/>
        </w:rPr>
      </w:pPr>
    </w:p>
    <w:p>
      <w:pPr>
        <w:ind w:left="160" w:hanging="134"/>
        <w:spacing w:after="0" w:line="195" w:lineRule="auto"/>
        <w:tabs>
          <w:tab w:leader="none" w:pos="16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income related to securities lending is excluded from the calculation of Securities RPM.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revenues increased 21% to $624.1 million in fiscal 2020 compared to $515.0 million in fiscal 2019. Net operating revenues increased 65% to $363.8 million in fiscal 2020 compared to $220.1 million in fiscal 2019.</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was primarily driven by the growth in operating revenues from securities transactions. The average daily volume (“ADV”) of securities traded increased 20% and the rate per million (“RPM”) traded increased 23%, each of which were driven by heightened volatility in the global equity and fixed income markets due to economic concerns related to the COVID-19 pandemic.</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14% as listed derivative contract volumes increased 24% in fiscal 2020 compared to fiscal 2019, however the average rate per contract declined 6%. The increased in derivative contract volume was primarily driven by increased market volatility as a result of the COVD-19 pandemic.</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derived from FX contracts resulted from a 26% increase in the RPM, driven by volatility in foreign exchange markets during fiscal 2020 related to the effect of COVID-19 which was partially offset by a 3% decrease in the ADV traded compared to prior year. The prior year period also includes a $2.7 million settlement received related to the Barclays PLC ‘last look’ class action matter.</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derivative business, as well as our correspondent clearing and independent wealth management businesses, declined 50% as compared to the prior year as a result of a significant decline in short term interest rates related to FOMC actions to reduce the federal funds rate beginning in August 2019. Partially offsetting the decline in short term interest rates was an increase in average client equity and average FDIC sweep client balances of 55% and 43%, respectively.</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increased to 49% in fiscal 2020 compared to 44% in fiscal 2019, primarily as the result of the decline in interest income and higher variable compensation as a result of improved performance.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we recorded bad debts of $5.7 million, primarily related to client deficits in our listed derivatives businesses. Also, in fiscal 2020 we recorded an impairment charge of $4.1 million related to capitalized development on a back-office software system not yet placed into service, that is now expected to be replaced with an alternative system we acquired as part of our acquisition of Gain.</w:t>
      </w:r>
    </w:p>
    <w:p>
      <w:pPr>
        <w:spacing w:after="0" w:line="1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Segment income increased 73% to $152.9 million in fiscal 2020 compared to $88.6 million in fiscal 2019, primarily as a result of the increase in operating revenues noted above, and partially offset by the increase in bad debts and impairment. Non-variable direct expenses, excluding bad debts, increased $19.2 million, or 29% versus fiscal 2019, primarily related to fixed compensation and trade system costs associated with the continued build out of several recent acquisitions and initiatives, including equity prime brokerage.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increased 21% to 515.0 million in fiscal 2019 compared to 427.1 million in fiscal 2018. Net operating revenues increased 25% to 220.1 million in fiscal 2019 compared to 176.3 in fiscal 2018.</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was primarily driven by the growth in operating revenues from securities transactions. The ADV of securities traded increased 44% while the RPM traded was relatively flat as compared to fiscal 2018. The increase in ADV was primarily as a result of increased volatility and market share and to a lesser extent the acquisition of GMP Securities.</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increase in operating revenues derived from FX contracts resulted from an 27% increase in the RPM traded, as well as a $2.7 million settlement received in fiscal 2019 related to the Barclays PLC ‘last look’ class action matter.</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operating revenues derived from listed derivatives declined as volumes were relatively flat with the prior year period, however the average rate per contract declined 18%.</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derivative business, as well as our correspondent clearing and independent wealth management businesses, increased 38% as compared to the prior year as a result of an increase in short term interest rates while average client equity and average FDIC sweep client balances declined 9% and 1% respectively as compared to fiscal 2018.</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44% in fiscal 2019 as compared to 53% in fiscal 2018 primarily as the result of lower introducing broker commissions and transaction-based clearing expenses related to product mix.</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Segment income increased 13% to $88.6 million in fiscal 2019 compared to $78.2 million in fiscal 2018, primarily as a result of the increase in net operating revenues noted above, which were tempered by higher interest expense in our institutional fixed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dealer as well as in our conduit securities lending activities combined with a decline in profitability in our municipal securities business. Non-variable direct expenses, excluding bad debts, increased $9.9 million, or 17% versus fiscal 2018, primarily as a result of the acquisitions of GMP Securities and Carl Kliem as well as the launch of our securities prime brokerage, institutional sales and Canadian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our retail clients around the world access to over 15,000 global financial markets, including spot foreign exchange ("forex"), both financial trading and physical investment in precious metals, as well as contracts for difference (“CFDs”), which are investment products with returns linked to the performance of underlying assets. In addition, our independent wealth management business offers a comprehensive product suite to retail investors in the United States.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Retail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(8,560)%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physical commodities sold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319%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355%</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303%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298%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230%</w:t>
            </w: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395%</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tables below reflect a disaggregation of operating revenues and select operating data and metrics used by management in evaluating performance of our Retail segment for the periods indicated.</w:t>
      </w: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6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CFD contracts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tcPr>
          <w:p>
            <w:pPr>
              <w:spacing w:after="0"/>
              <w:rPr>
                <w:sz w:val="16"/>
                <w:szCs w:val="16"/>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7"/>
        </w:trPr>
        <w:tc>
          <w:tcPr>
            <w:tcW w:w="5360" w:type="dxa"/>
            <w:vAlign w:val="bottom"/>
          </w:tcPr>
          <w:p>
            <w:pPr>
              <w:ind w:left="220"/>
              <w:spacing w:after="0" w:line="176" w:lineRule="exact"/>
              <w:rPr>
                <w:sz w:val="20"/>
                <w:szCs w:val="20"/>
                <w:color w:val="auto"/>
              </w:rPr>
            </w:pPr>
            <w:r>
              <w:rPr>
                <w:rFonts w:ascii="Times New Roman" w:cs="Times New Roman" w:eastAsia="Times New Roman" w:hAnsi="Times New Roman"/>
                <w:sz w:val="14"/>
                <w:szCs w:val="14"/>
                <w:color w:val="auto"/>
              </w:rPr>
              <w:t xml:space="preserve">FX / CFD contracts ADV (millions) </w:t>
            </w:r>
            <w:r>
              <w:rPr>
                <w:rFonts w:ascii="Times New Roman" w:cs="Times New Roman" w:eastAsia="Times New Roman" w:hAnsi="Times New Roman"/>
                <w:sz w:val="18"/>
                <w:szCs w:val="18"/>
                <w:color w:val="auto"/>
                <w:vertAlign w:val="superscript"/>
              </w:rPr>
              <w:t>(1)</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100" w:type="dxa"/>
            <w:vAlign w:val="bottom"/>
          </w:tcPr>
          <w:p>
            <w:pPr>
              <w:spacing w:after="0"/>
              <w:rPr>
                <w:sz w:val="15"/>
                <w:szCs w:val="15"/>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60" w:type="dxa"/>
            <w:vAlign w:val="bottom"/>
          </w:tcPr>
          <w:p>
            <w:pPr>
              <w:ind w:left="220"/>
              <w:spacing w:after="0" w:line="196" w:lineRule="exact"/>
              <w:rPr>
                <w:sz w:val="20"/>
                <w:szCs w:val="20"/>
                <w:color w:val="auto"/>
              </w:rPr>
            </w:pPr>
            <w:r>
              <w:rPr>
                <w:rFonts w:ascii="Times New Roman" w:cs="Times New Roman" w:eastAsia="Times New Roman" w:hAnsi="Times New Roman"/>
                <w:sz w:val="14"/>
                <w:szCs w:val="14"/>
                <w:color w:val="auto"/>
              </w:rPr>
              <w:t xml:space="preserve">FX / CFD contracts RPM </w:t>
            </w:r>
            <w:r>
              <w:rPr>
                <w:rFonts w:ascii="Times New Roman" w:cs="Times New Roman" w:eastAsia="Times New Roman" w:hAnsi="Times New Roman"/>
                <w:sz w:val="18"/>
                <w:szCs w:val="18"/>
                <w:color w:val="auto"/>
                <w:vertAlign w:val="superscript"/>
              </w:rPr>
              <w:t>(2)</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0628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160" w:hanging="134"/>
        <w:spacing w:after="0" w:line="215" w:lineRule="auto"/>
        <w:tabs>
          <w:tab w:leader="none" w:pos="16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ADV for the year ended September 30, 2020 is reflective of the ADV post-acquisition of Gain, and is calculated based on 43 trading days with the activities of Gain, acquired effective August 1,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23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revenues were $140.0 million in fiscal 2020 compared to $78.2 million in fiscal 2019. Net operating revenues were $63.8 million in fiscal 2020 compared to $15.7 million in fiscal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derived from FX / CFD contracts represent the incremental revenues from the acquisition of Gain effective July 31, 2020.</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revenues from securities transactions and other primarily relate to our independent wealth management activities which increased 9% to $82.2 million in fiscal 2020 as compared to $75.7 million in fiscal 2019.</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derived from physical contracts was a result of the acquisition of Coininvest GmbH and European Precious Metal Trading GmbH, which was completed in April 2019, which benefited from increased customer demand for precious metals transactions through our online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declined 15% to $1.7 million primarily as a result of the decline in short term interest rates.</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57% in fiscal 2020 compared to 81% in fiscal 2019, with the decrease in the variable rate percentage being driven by the recent Gain acquisition that brings a large lower variable rate cost base.</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Segment income increased 395% to $31.7 million in fiscal 2020 compared to $6.4 million in fiscal 2019, primarily as a result of the increase in net operating revenues noted above. The increase in non-variable direct expenses, was primarily a result of incremental costs from the acquisition of Gain effective July 31, 2020, which a brings a larger fixed cost base.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revenues were $78.2 million in fiscal 2019 compared to $73.3 million in fiscal 2018. Net operating revenues were $15.7 million in fiscal 2019 compared to $12.7 million in fiscal 2018.</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increase in operating revenues from securities transactions and other primarily relates to increased customer activity in our independent wealth management business.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physical contracts was primarily related to our acquisition of Coininvest GmbH and European Precious Metals GmbH, effective April 1, 2019, which allows customers to purchase precious metals through our online platforms.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declined 9% to $2.0 million compared to the fiscal 2018.</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81% in fiscal 2019 compared to 84% in fiscal 2018. Segment income increased 14% to $6.4 million in fiscal 2019 compared to $5.6 million in fiscal 2018, primarily as a result of the increase in net operating revenues noted above. The increase in non-variable direct expenses, was primarily a result of an increase in fixed compensation and benefits, trade system costs and professional fees in our independent wealth management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provide customized foreign exchange and treasury services to banks and commercial businesses as well as charities and non-governmental and government organizations. We provide transparent pricing and offer payments services in more than 170 countries and 140 currencies, which we believe is more than any other payments solutions provider.</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Global Payments segment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r>
      <w:tr>
        <w:trPr>
          <w:trHeight w:val="189"/>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9"/>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21"/>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8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3"/>
        </w:trPr>
        <w:tc>
          <w:tcPr>
            <w:tcW w:w="534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Global Payments ADV (millions)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8"/>
        </w:trPr>
        <w:tc>
          <w:tcPr>
            <w:tcW w:w="5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Global Payments RPM </w:t>
            </w:r>
            <w:r>
              <w:rPr>
                <w:rFonts w:ascii="Times New Roman" w:cs="Times New Roman" w:eastAsia="Times New Roman" w:hAnsi="Times New Roman"/>
                <w:sz w:val="9"/>
                <w:szCs w:val="9"/>
                <w:color w:val="auto"/>
              </w:rPr>
              <w:t>(1)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9,456</w:t>
            </w:r>
          </w:p>
        </w:tc>
      </w:tr>
    </w:tbl>
    <w:p>
      <w:pPr>
        <w:ind w:left="160" w:hanging="134"/>
        <w:spacing w:after="0" w:line="209" w:lineRule="auto"/>
        <w:tabs>
          <w:tab w:leader="none" w:pos="16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Rate per million is based on principal gains, net and commission and clearing fees revenues and the ADV shown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23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2020 Compared to Year Ended September 30, 2019</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revenues increased 4% to $117.4 million in fiscal 2020 compared to $112.8 million in fiscal 2019, Net operating revenues increased 4% to $111.5 million in fiscal 2020 compared to $107.0 million in fiscal 2019.</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were primarily driven by a 3% increase in the rate per million dollars traded, while the average daily notional payment volume was relatively unchanged year-over-year, as larger debt capital market transactions from our international banking clients decreased in fiscal 2020 compared to fiscal 2019 due to the global economic slowdown impact of the COVID-19 pandemic.</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24% in fiscal 2020 compared to 23% in fiscal 2019, primarily as a result of an increase in variable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Segment income increased 4% to $68.6 million in fiscal 2020 compared to $66.1 million in fiscal 2019. This increase primarily resulted from the increase in net operating revenues, partially offset by a $0.5 million decrease in non-variable direct expenses versus the prior 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2019 Compared to Year Ended September 30, 2018</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increased 14% to $112.8 million in fiscal 2019 compared to $99.2 million in fiscal 2018, driven by a 4% increase in the rate per million dollars traded, while the average daily notional payment volume increased 7% compared to fiscal 2018. This growth was driven by increased activity from our international banking clients, particularly related to capital transactions, mergers and acquisitions, and smaller recurring payments.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Segment income increased 11% to $66.1 million in fiscal 2019 compared to $59.8 million in fiscal 2018. This increase primarily resulted from the increase in operating revenues, partially offset by a $5.3 million increase in non-variable direct expenses versus the prior year period, primarily driven by the acquisition of PayCommerce Financial Solutions, LLC in the fourth quarter of fiscal 2018 as well as the addition of several new front office employees. Variable expenses, excluding interest, expressed as a percentage of operating revenues decreased to 23% in fiscal 2019 compared to 24% in fiscal 2018, primarily as a result of a decrease in variable compensation.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Financial Condition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Liquidity is defined as our ability to generate sufficient amounts of cash to meet all of our cash needs. Liquidity is of critical importance to us and imperative to maintaining our operations on a daily basis. Our senior management establishes liquidity and capital policies, and monitors liquidity on a daily basis. Senior management reviews business performance relative to these policies and monitors the availability of our internal and external sources of financing. We have historically financed our liquidity and capital needs primarily with funds generated from our subsidiaries' operations, the issuance of debt and equity securities, and access to committed credit facilities. We plan to finance our future operating liquidity and regulatory capital needs in a manner consistent with our past practice. Liquidity and capital matters are reported regularly to our board of directors.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StoneX Financial Inc. is registered as a broker-dealer with the Securities and Exchange Commission (“SEC”) and is a member of the Financial Industry Regulatory Authority (“FINRA”) and the Municipal Securities Rulemaking Board (“MSRB”). In addition, StoneX Financial is registered as a futures commission merchant with the CFTC and NFA, and a member of various commodities and futures exchanges in the U.S. and abroad. StoneX Financial has a responsibility to meet margin calls at all exchanges on a daily basis and intra-day basis, if necessary. We require our clients to make any required margin deposits the next business day, and we require our largest clients to make intra-day margin payments during periods of significant price movement. Margin required to be posted to the exchanges is a function of the net open positions of our clients and the required margin per contract. StoneX Financial is subject to minimum capital requirements under Section 4(f)(b) of the Commodity Exchange Act, Part 1.17 of the rules and regulations of the CFTC and the SEC Uniform Net Capital Rule 15c3-1 under the Securities Exchange Act of 1934. StoneX Financial is also subject to the Rule 15c3-3 of the Securities Exchange Act of 1934, as amended (“Customer Protection Rule”).</w:t>
      </w:r>
    </w:p>
    <w:p>
      <w:pPr>
        <w:spacing w:after="0" w:line="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Gain Capital Group, LLC is registered as a futures commission merchant and forex dealer subsidiary and is also subject to minimum capital requirements under Section 4(f)(b) of the Commodity Exchange Act, Part 1.17 of the rules and regulations of the CFTC and NFA Financial Requirements, Sections 1 and 11.</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rules specify the minimum amount of capital that must be available to support our clients’ open trading positions, including the amount of assets that StoneX Financial and Gain Capital Group, LLC must maintain in relatively liquid form, and are designed to measure general financial integrity and liquidity.</w:t>
      </w:r>
    </w:p>
    <w:p>
      <w:pPr>
        <w:spacing w:after="0" w:line="6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StoneX Financial Ltd (formerly INTL FCStone Ltd) is regulated by the Financial Conduct Authority (“FCA”), the regulator of the financial services industry in the U.K. and is subject to regulations which impose regulatory capital requirements. StoneX Financial Ltd is a member of various commodities and futures exchanges in the U.K. and Europe and has the responsibility to meet margin calls at all exchanges on a daily basis and intra-day basis, if necessary. StoneX Financial Ltd is required to be compliant with the U.K.’s Individual Liquidity Adequacy Standards (“ILAS”). To comply with these standards, we have implemented daily liquidity procedures, conduct periodic reviews of liquidity by stressed scenarios, and have created liquidity buffers.</w:t>
      </w:r>
    </w:p>
    <w:p>
      <w:pPr>
        <w:spacing w:after="0" w:line="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GAIN Capital U.K. Ltd. is regulated by the FCA as a full scope €730k IFPRU Investment Firm, and is also subject to regulations which impose regulatory capital requirements.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regulations discussed above limit funds available for dividends to StoneX. As a result, we may be unable to access funds which are generated by our operating subsidiaries when we need them.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in our physical commodities trading, commercial hedging OTC, securities and foreign exchange trading activities, we may be called upon to meet margin calls with our various trading counterparties based upon the underlying open transactions we have in place with those counterparties.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continuously review our overall credit and capital needs to ensure that our capital base, both stockholders’ equity and debt, as well as available credit facilities can appropriately support the anticipated financing needs of our operating subsidiaries.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2020, we had total equity capital of $767.5 million, outstanding loans under revolving credit facilities of $268.1 million, outstanding senior secured term loan of $179.5 million and $336.0 million outstanding on our senior secured notes, net of deferred financing costs.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substantial portion of our assets are liquid. As of September 30, 2020, approximately 97% of our assets consisted of cash; securities purchased under agreements to resell; securities borrowed; deposits with and receivables from exchange-clearing organizations, broker-dealers, clearing organizations and counterparties; client receivables, marketable financial instruments and investments, and physical commodities inventory. All assets that are not client and counterparty deposits are financed by our equity capital, bank loans, short-term borrowings from financial instruments sold, not yet purchased and under repurchase agreements, securities loaned and other payables.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September 30, 2020, we had deferred tax assets totaling $36.9 million. We are required to assess our deferred tax assets and the need for a valuation allowance at each reporting period. In assessing the realizability of deferred tax assets, we consider whether it is more likely than not that we will not realize some or all of the deferred tax assets. We are required to record a valuation allowance against deferred tax assets when it is considered more likely than not that all or a portion of our deferred tax assets will not be realized. The valuation allowance for deferred tax assets as of September 30, 2020 and September 30, 2019 was $12.4 million and $8.5 million, respectively. The valuation allowances as of September 30, 2020 and September 30, 2019 were primarily related to U.S. state and local, and foreign net operating loss carryforwards and foreign tax credits acquired through the merger with Gain that, in the judgment of management, are not more likely than not to be realized.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and Counterparty Credit and Liquidity Risk</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operations expose us to credit risk of default of our clients and counterparties. The risk includes liquidity risk to the extent our clients or counterparties are unable to make timely payment of margin or other credit support. These risks expose us indirectly to the financing and liquidity risks of our clients and counterparties, including the risks that our clients and counterparties may not be able to finance their operations.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required margin deposits the next business day, and we require our largest clients to make intra-day margin payments during periods of significant price movement. Our clients are required to maintain initial margin requirements at the level set by the respective exchanges, but we have the ability to increase the margin requirements for clients based on their open positions, trading activity, or market conditions.</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With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the required payment from our clients. OTC clients are required to post sufficient collateral to meet margin requirements based on value-at-risk models as well as variation margin requirement based on the price movement of the commodity or security in which they transact. Our clients are required to make any required margin deposits the next business day, and we may require our largest clients to make intra-day margin payments during periods of significant price movement.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with OTC transactions, we are at risk that a counterparty will fail to meet its obligations when due. We would then be exposed to the risk that the settlement of a transaction which is due a client will not be collected from the respective counterparty with which the transaction was offset. We continuously monitor the credit quality of our respective counterparties and mark our positions held with each counterparty to market on a daily basis.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value of the collateral is valued daily and we may require counterparties to deposit additional collateral or return collateral pledged, when appropriate.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Excluding the bad debt and recoveries on physical coal discussed below, during the fiscal years ended September 30, 2020, 2019, and 2018, we recorded bad debts, net of recoveries of $13.0 million, $2.5 million, and $3.1 million, respectively. Additional information related to bad debts, net of recoveries, for the fiscal years ended September 30, 2020, 2019, and 2018 is set forth in Note 7 of the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OptionSellers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2018, balances in approximately 300 accounts of the futures commission merchant (“FCM”) division of our wholly owned subsidiary, StoneX Financial Inc. (“StoneX Financial”), declined below required maintenance margin levels, primarily as a result of significant and unexpected price fluctuations in the natural gas markets. All positions in these accounts, which were managed by OptionSellers.com Inc. (“OptionSellers”), an independent Commodity Trading Advisor (“CTA”), were liquidated in accordance with the StoneX Financial’s client agreements and obligations under market regulation standards. OptionSellers, in its role as a CTA, had been granted by each of its clients full discretionary authority to manage the trading in the client accounts, while StoneX Financial acted solely as the clearing firm in its role as the FCM.</w:t>
      </w:r>
    </w:p>
    <w:p>
      <w:pPr>
        <w:spacing w:after="0" w:line="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StoneX Financial’s client agreements hold account holders liable for all losses in their accounts and obligate the account holders to reimburse StoneX Financial for any account deficits in their accounts. As of September 30, 2020, the aggregate receivable from these client accounts, net of collections and other allowable deductions, was $29.0 million, with no individual account receivable exceeding $1.4 million. StoneX Financial continues to pursue collection of these receivables and intends both to enforce and to defend its rights aggressively, and to claim interest and costs of collection where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done an assessment of the collectability of these accounts, considered the status of arbitration proceedings, and have concluded that we do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sufficient basis to record an allowance against these uncollected balances. As we move through the collection and arbitration processes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becomes available, we will continue to consider the need for an allowance against the carrying value of these uncollected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Depending on future collections and arbitration proceedings, any provisions for bad debts and actual losses ultimately may or may not be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financial results. Currently, we do not believe that any potential losses related to this matter would impact our ability to comply with our ongoing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capital, and regulatory requirements.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Bad Debt and Recoveries on Physical Coal</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During fiscal 2017 and fiscal 2018, we recorded charges to earnings of $47.0 million and $1.0 million, respectively, to record an allowance for doubtful accounts related to a bad debt incurred in our physical coal business, conducted solely in our Singapore subsidiary, INTL Asia Pte. Ltd., with a coal supplier. Components of the bad debt on physical coal included allowances on amounts due to us from our supplier related to: coal paid for but not delivered to clients; reimbursement of demurrage claims, dead freight and other charges paid by INTL Asia Pte. Ltd. to its clients; reimbursement due for deficiencies in the quality of coal delivered to clients; and losses incurred related to the cancellation of open sales contracts. During fiscal 2018, we completed our exit of the physical coal business.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2019, we reached settlements with clients, paying $8.4 million related to demurrage, dead freight, and other penalty charges regarding coal supplied during fiscal 2017. The settlement amounts paid were less than the accrued liabilities for the transactions recorded during fiscal 2018 and fiscal 2017, and accordingly we recorded a recovery on the bad debt on physical coal of $2.4 million. Additionally, in September 2019, we received $10.0 million through an insurance policy claim related to the physical coal matter, and recorded the insurance proceeds as an additional recovery.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Sources and Uses of Cash</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customer cash and securities held for customers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w:t>
      </w:r>
    </w:p>
    <w:p>
      <w:pPr>
        <w:spacing w:after="0" w:line="6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Our assets and liabilities may vary significantly from period to period due to changing client requirements, economic and market conditions and our growth. Our total assets as of September 30, 2020 and September 30, 2019, were $13.5 billion and $9.9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and StoneX Financial Ltd occasionally utilize their margin line credit facilities, on a short-term basis, to meet intraday settlements with the commodity exchanges prior to collecting margin funds from their clients.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majority of the assets of StoneX Financial, StoneX Financial Ltd, Gain Capital Group, LLC and GAIN Capital U.K. Ltd. are restricted from being transferred to its parent or other affiliates due to specific regulatory requirements. This restriction has no impact on our ability to meet our cash obligations, and no impact is expected in the future.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liquidity and funding policies and processes in place that are intended to maintain significant flexibility to address both company-specific and industry liquidity needs. The majority of our excess funds are held with high-quality institutions, under highly liquid reverse repurchase agreements, U.S. government obligations, interest earning cash deposits and AA-rated money market investments.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repatriated $30.0 million and $13.0 million for the fiscal year ended September 30, 2020 and 2019, respectively, of earnings previously taxed in the U.S. resulting in no significant incremental taxes. Therefore, the Company has not recognized a deferred tax liability on its investment in foreign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June 11, 2020, we issued $350 million in aggregate principal amount of our 8.625% Senior Secured Notes due 2025 (the “Notes”) at the offering price of 98.5% of the aggregate principal amount. We used the net proceeds from the sale of the Notes to fund the preliminary cash consideration for the merger of Gain on the closing date, to pay certain related transactions fees and expenses, and to fund the repayment of Gain’s 5.00% Convertible Senior Notes due 2022 (“the Gain Notes”) as further discussed below and in Note 18.</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will mature on June 15, 2025. Interest on the Senior Secured Notes accrues at a rate of 8.625% per annum and is payable semiannually in arrears on June 15 and December 15 of each year, commencing on December 15, 2020. We incurred debt issuance costs of $9.5 million in connection with the issuance of the Senior Secured Notes, which are being amortized over the term of the Senior Secured Notes under the effective interest method.</w:t>
      </w:r>
    </w:p>
    <w:p>
      <w:pPr>
        <w:spacing w:after="0" w:line="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the option to redeem all or a portion of the Senior Secured Notes at any time prior to June 15, 2022 at a price equal to 100% of the principal amount of the Senior Secured Notes redeemed plus accrued and unpaid interest to the redemption date plus a “make-whole” premium. At any time on or after June 15, 2022, we may redeem the Senior Secured Notes, in whole or in part, at the redemption prices set forth in the indenture. At any time before June 15, 2022, we may also redeem up to 40% of the aggregate principal amount of the Senior Secured Notes at a redemption price of 108.625% of the principal amount, plus accrued and unpaid interest, if any, to the date of redemption, with the proceeds of certain equity offerings. In addition, upon the earlier to occur of (x) a business combination between our subsidiaries that are registered in the UK and regulated by the Financial Conduct Authority and</w:t>
      </w:r>
    </w:p>
    <w:p>
      <w:pPr>
        <w:spacing w:after="0" w:line="5" w:lineRule="exact"/>
        <w:rPr>
          <w:sz w:val="20"/>
          <w:szCs w:val="20"/>
          <w:color w:val="auto"/>
        </w:rPr>
      </w:pPr>
    </w:p>
    <w:p>
      <w:pPr>
        <w:ind w:right="60" w:firstLine="8"/>
        <w:spacing w:after="0" w:line="25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year anniversary of the date of issuance of the Senior Secured Notes, we may elect to redeem up to $100.0 million in aggregate principal amount of the Senior Secured Notes at a redemption price equal to 103% of the principal amount of the Senior Secured Notes redeemed, plus accrued and unpaid interest, if any, to the date of redemption. If we elect not to redeem the Senior Secured Notes, the holders of the Senior Secured Notes will have the right to require us to repurchase up to $100.0 million in aggregate principal amount of the Senior Secured Notes (or a lesser amount equal to the difference between $100.0 million and the amounts previously redeemed by us) at a purchase price equal to 103% of the principal amount of the Senior Secured Notes repurchased, plus accrued and unpaid interest, if any, to the date of repurchase. On February 22, 2019, the Company amended its $262.0 million senior secured revolving credit facility, to extend the maturity date through February 2022, and to increase the size of the facility to $350.0 million. Subsequent to September 30, 2020, additional members were added to the syndication further increasing the committed amount to $393.0 million.</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Gain merger, the Company assumed the Gain Notes in an aggregate principal amount of $92.0 million, that were issued by Gain on August 22, 2017. The notes bear interest at a fixed rate of 5.00% per year, payable semi-annually in arrears on February 15 and August 15 of each year, beginning on February 15, 2018. The consummation of the merger with Gain constituted a fundamental change and make-whole fundamental change under the terms of the Gain Notes’ indenture. As a result, the holders of the Gain Notes were entitled to require us to repurchase the Gain Notes at a repurchase price equal to $1,002.36 per $1,000 principal amount on September 1, 2020. Alternatively, the holders of the Gain Notes could continue to hold such notes without exercising the repurchase right, in which case the Gain Notes will continue to bear interest at 5.00% and the notes will be convertible into the right to convert the principal amount of the Senior Secured Notes solely into cash in an amount equal to the conversion rate in effect on the conversion date multiplied by $6.00.</w:t>
      </w:r>
    </w:p>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Holders of the Gain Notes in the aggregate principal amount of $0.5 million neither exercised such holder's fundamental change repurchase right or make-whole fundamental change conversion right, and accordingly $0.5 million of Gain Notes remain outstanding. We were required to redeem the Senior Secured Notes in an amount equal to the aggregate principal amount of the Gain Notes that remained outstanding after the fundamental change repurchase date, at a redemption price equal to 100% of the principal amount of the Senior Secured Notes redeemed, plus accrued and unpaid interest, if any, to the redemption date. In September 2020, we redeemed $91.5 million in principal amount of the Senior Secured Notes. The remaining aggregate principal amount of $0.5 million will mature on August 15, 2022,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Credit Facilities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2020, we had four committed bank credit facilities, totaling $736.6 million, of which $427.6 million was outstanding. Additional information regarding our bank credit facilities can be found in Note 12 of the Consolidated Financial Statements. The credit facilities include:</w:t>
      </w:r>
    </w:p>
    <w:p>
      <w:pPr>
        <w:spacing w:after="0" w:line="54" w:lineRule="exact"/>
        <w:rPr>
          <w:sz w:val="20"/>
          <w:szCs w:val="20"/>
          <w:color w:val="auto"/>
        </w:rPr>
      </w:pPr>
    </w:p>
    <w:p>
      <w:pPr>
        <w:ind w:left="660" w:right="100" w:hanging="328"/>
        <w:spacing w:after="0" w:line="25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three-year syndicated loan facility, which includes a $196.5 million revolving credit facility and a $196.5 million Term Loan, committed until February 22, 2022, under which we are entitled to borrow up to $376.6 million, subject to certain terms and conditions of the credit agreement. This credit facility will continue to be used to finance the Company’s working capital requirements and capital expenditures. The credit facility is secured by a first priority lien on substantially all of the assets of the Company and those of our subsidiaries that guarantee the credit facility. The Company is required to make quarterly principal payments against the Term Loan equal to 1.25% of the original balance with the remaining balance due on the maturity date. Amounts repaid on the Term Loan may not be reborrowed.</w:t>
      </w:r>
    </w:p>
    <w:p>
      <w:pPr>
        <w:spacing w:after="0" w:line="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loan facility committed until April 2, 2021, under which our subsidiary, StoneX Financial is entitled to borrow up to $75.0 million, subject to certain terms and conditions of the credit agreement. This facility is intended to provide short-term funding of margin to commodity exchanges as necessary.</w:t>
      </w:r>
    </w:p>
    <w:p>
      <w:pPr>
        <w:spacing w:after="0" w:line="6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syndicated loan facility committed until January 29, 2022, under which our subsidiary, FCStone Merchant Services, LLC is entitled to borrow up to $260.0 million, subject to certain terms and conditions of the credit agreement. The loan proceeds are used to finance commodity financing arrangements and commodity repurchase agreements.</w:t>
      </w:r>
    </w:p>
    <w:p>
      <w:pPr>
        <w:spacing w:after="0" w:line="6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loan facility committed until October 14, 2021, under which our subsidiary, StoneX Financial Ltd is entitled to borrow up to $25.0 million, subject to certain terms and conditions of the credit agreement. This facility is intended to provide short-term funding of margin to commodity exchanges as necessary. This facility matured on October 14, 2020 and was replaced by an unsecured syndicated committed borrowing facility with substantially similar terms.</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committed bank credit facilities can be found in Note 12 of the Consolidated Financial Statements. As reflected above, $75.0 million of our committed credit facilities are scheduled to expire during fiscal 2021. We intend to renew or replace these facilities as they expire, and based on our liquidity position and capital structure, we believe we will be able to do so.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had four uncommitted bank credit facilities with an outstanding balance of $20.0 million. The credit facilities include:</w:t>
      </w:r>
    </w:p>
    <w:p>
      <w:pPr>
        <w:spacing w:after="0" w:line="117" w:lineRule="exact"/>
        <w:rPr>
          <w:sz w:val="20"/>
          <w:szCs w:val="20"/>
          <w:color w:val="auto"/>
        </w:rPr>
      </w:pPr>
    </w:p>
    <w:p>
      <w:pPr>
        <w:ind w:left="660" w:right="400" w:hanging="328"/>
        <w:spacing w:after="0" w:line="312"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secured uncommitted loan facility under which StoneX Financial may borrow up to $75.0 million, collateralized by commodity warehouse receipts, to facilitate U.S. commodity exchange deliveries of its clients, subject to certain terms and conditions of the credit agreement.</w:t>
      </w:r>
    </w:p>
    <w:p>
      <w:pPr>
        <w:spacing w:after="0" w:line="31" w:lineRule="exact"/>
        <w:rPr>
          <w:rFonts w:ascii="Times New Roman" w:cs="Times New Roman" w:eastAsia="Times New Roman" w:hAnsi="Times New Roman"/>
          <w:sz w:val="17"/>
          <w:szCs w:val="17"/>
          <w:color w:val="auto"/>
        </w:rPr>
      </w:pPr>
    </w:p>
    <w:p>
      <w:pPr>
        <w:ind w:left="660" w:right="3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uncommitted loan facility under which StoneX Financial may borrow up to $100.0 million for short term funding of firm and client margin requirements, subject to certain terms and conditions of the agreement. The borrowings are secured by first liens on firm owned marketable securities or client owned securities which have been pledged to us under a clearing arrangement.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uncommitted loan facility under which StoneX Financial may borrow requested amounts for short term funding of firm and client margin requirements. The uncommitted maximum amount available to be borrowed is not specified, and all requests for borrowing are subject to the sole discretion of the lender. The borrowings are secured by first liens on firm owned marketable securities or client owned securities which have been pledged to us under a clearing arrangement.</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secured uncommitted loan facility under which StoneX Financial Ltd may borrow up to $20.0 million, collateralized by commodities warehouse receipts, to facilitate the financing of inventory of commodities, subject to certain terms and conditions of the credit agreement.</w:t>
      </w:r>
    </w:p>
    <w:p>
      <w:pPr>
        <w:spacing w:after="0" w:line="5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facility agreements contain certain financial covenants relating to financial measures on a consolidated basis, as well as on a certain stand-alone subsidiary basis,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September 30, 2020, we and our subsidiaries are in compliance with all of our financial covenants under the outstanding facilities.</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accordance with required disclosure as part of our three-year syndicated revolving loan facility, during the trailing twelve months ended September 30, 2020, interest expense directly attributable to trading activities includes $33.5 million 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connection with trading activities conducted as an institutional dealer in fixed income securities, and $25.0 million in connection with securities lending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Considerations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activities are subject to various significant governmental regulations and capital adequacy requirements, both in the U.S. and in the international jurisdictions in which we operate. Certain other of our non-U.S. subsidiaries are also subject to capital adequacy requirements promulgated by authorities of the countries in which they operate. Our subsidiaries are in compliance with all of their capital regulatory requirements as of September 30, 2020. Additional information on our subsidiaries subject to significant net capital and minimum net capital requirements can be found in Note 14 of the Consolidated Financial Statements.</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Dodd-Frank Act created a comprehensive new regulatory regime governing the OTC swaps and imposed further regulations on listed derivatives. The Dodd-Frank Act also created a registration regime for new categories of market participants, such as “swap dealers”, among others.</w:t>
      </w:r>
    </w:p>
    <w:p>
      <w:pPr>
        <w:spacing w:after="0" w:line="5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Dodd-Frank Act generally introduced a framework for (i) swap data reporting and record keeping on counterparties and data repositories; (ii) centralized clearing for swaps, with limited exceptions for end-users; (iii) the requirement to execute swaps on regulated swap execution facilities; (iv) imposition on swap dealers to exchange margin on uncleared swaps with counterparties; and (v) the requirement to comply with new capital rules.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subsidiary, StoneX Markets LLC, is a CFTC provisionally registered swap dealer. Our subsidiary, GAIN GTX, LLC, is a CFTC and NFA provisionally registered swap dealer. Certain of our other subsidiaries may be required to register, or may register voluntarily, as swap dealers and/or swap execution facilities. During 2016, CFTC 23.154, Calculation of Initial Margin rules came into effect, imposing new requirements on registered swap dealers (such as our subsidiary, StoneX Markets, LLC) and certain counterparties to exchange initial margin, with phased-in compliance dates, with StoneX Markets, LLC falling in the final compliance date tier of September 2021. We will continue to monitor all applicable developments in the ongoing implementation of the Dodd-Frank Act.</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Swap dealers are subject to a comprehensive regulatory regime with new obligations for the swaps activities for which they are registered, including adherence to risk management policies, supervisory procedures, trade record and real time reporting requirements, as well as proposed rules for new minimum capital requirements. StoneX Markets LLC and GAIN GTX, LLC have faced, and may continue to face, increased costs due to the registration and regulatory requirements listed above, as may any other of our subsidiaries that register as a swap dealer and/or swap execution facility. In particular, the CFTC has proposed rules that would require a swap-dealer to maintain regulatory capital of at least $20.0 million. Compliance with this or other swap-related regulatory capital requirements may require us to devote more capital to these businesses or otherwise restructure our operations, such as by combining these businesses with other regulated subsidiaries that must also satisfy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adoption of Accounting Standards Update (“ASU”) 2016-18 on October 1, 2018, we now include client cash and securities segregated for regulatory purposes in our consolidated cash flow statements. We hold a significant amount of U.S. Treasury obligations which represent investment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cash, segregated cash, cash equivalents, and segregated cash equivalents increased from $2,451.3 million as of September 30, 2019 to $4,468.6 million as of September 30, 2020, a net increase of $2,017.1 million. Net cash of $1,950.6 million was provided by operating activities, $241.6 million was used in investing activities and net cash of $312.3 million was provided by financing activities, which included a $21.5 million source of financing cash flows related to the issuance of the senior secured term loan, partially offset by required quarterly principal payments of $9.8 million made during the year ended September 30, 2020. There was a financing cash outflow related to net payments on our revolving lines of credit with maturities of 90 days or less of $99.7 million during the year ended September 30, 2020, which reduced payables to lenders under loans. There was a financing cash outflow related to repayments on our revolving line of credit which exceeded our proceeds from borrowings with maturities of greater than 90 days in the amount of $33.5 million, which decreased payables to lenders under loans. Fluctuations in exchange rates decreased our cash, segregated cash, cash equivalents and segregated cash equivalents by $4.2 million.</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 transferred and pledged to the exchanges or guarantee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Unrealized gains and losses on open positions revalued at prevailing foreign currency exchange rates are included in trading revenue but have no direct impact on cash flow from operations. Similarly, gains and losses become realized when client transactions are liquidated, 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spacing w:after="0" w:line="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continuously evaluate opportunities to expand our business. Investing activities include $16.6 million in capital expenditures for property and equipment during fiscal 2020 compared to $11.9 million during fiscal 2019 and $12.5 million during fiscal 2018. Fluctuations in capital expenditures are primarily due to the timing of purchases of IT equipment and trade and non-trade system software as well as the timing on leasehold improvement projects.</w:t>
      </w:r>
    </w:p>
    <w:p>
      <w:pPr>
        <w:spacing w:after="0" w:line="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Capital expenditures over the past three years has primarily included core information technology hardware acquisitions and leasehold improvements on office space. Following the acquisition of Gain we expect higher capital expenditures for future years primarily related to developing and creating additional features to various trading platforms.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conjunction with the integration of Gain, we re-evaluated all trading systems utilized across the organization in order to identify duplicative systems. In connection with this process, we determined that certain legacy capitalized developed software costs within our OTC foreign exchange and precious metals businesses and would no longer be placed into service and utilized as expected prior to the merger with Gain. As a result, we recorded impairment charges of $5.7 million, which are reflected in ‘Bad debts and impairments’ on the consolidated income statement for the year ended September 30, 2020.</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Investing activities also include $225.0 million in cash payments for the acquisition of businesses during fiscal 2020 compared to $28.9 million during fiscal 2019. Further information about business acquisitions is contained in Note 21 to the Condensed Consolidated Financial Statements.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fiscal 2020 and 2019, we repurchased 200,000 and 100,000 shares of our outstanding common stock in open market transactions, for an aggregate purchase price of $7.5 million and $3.8 million, respectively. During fiscal 2018 we had no repurchases of our outstanding common stock.</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13, 2019, our Board of Directors authorized the repurchase of up to 1.5 million shares of our outstanding common stock from time to time in open market purchases and private transactions, commencing on August 14, 2019 and ending on September 30, 2020. The repurchases were subject to the discretion of the senior management team to implement our stock repurchase plan, and subject to market conditions and as permitted by securities laws and other legal, regulatory and contractual requirements and covenants. As of the date of this filing, there has been no subsequent authorization by our Board of Directors to repurchase shares of our common stock.</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Apart from what has been disclosed above, there are no known trends, events or uncertainties that have had or are likely to have a material impact on our liquidity, financial condition and capital resources.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payment obligations as of September 30,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Purchase obligations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lenders under loans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borrowings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acquisition consideration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8"/>
        </w:trPr>
        <w:tc>
          <w:tcPr>
            <w:tcW w:w="5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60" w:right="60" w:hanging="252"/>
        <w:spacing w:after="0" w:line="263" w:lineRule="auto"/>
        <w:tabs>
          <w:tab w:leader="none" w:pos="24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estimate of contractual purchase commitments in the ordinary course of business primarily for the purchase of precious metals and agricultural and energy commodities. Unpriced contract commitments have been estimated using September 30, 2020 fair values. The purchase commitments for less than one year will be partially offset by corresponding sales commitments of $5,162.4 million.</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contractual obligations exclude defined benefit pension obligations. We comply with the minimum funding requirements, and accordingly contributed $0.1 million to our defined benefit pension plans during the year ended September 30, 2020. In fiscal 2021, we anticipate making future benefit payments of $2.1 million related to the defined benefit plans. Additional information on the funded status of these plans can be found in Note 17 of the Consolidated Financial Statements.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upon our current operations, we believe that cash flow from operations, available cash and available borrowings under our credit facilities will be adequate to meet our future liquidity needs.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party to certain financial instruments with off-balance sheet risk in the normal course of business as a registered securities broker-dealer, futures commission merchant, U.K. based financial services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September 30, 2019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spacing w:after="0" w:line="7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condensed consolidated financial statements as of September 30, 2020 and September 30, 2019, at fair value of the related financial instruments, totaling $686.0 million and $714.8 million, respectively. These positions are held to offset the risks related to financial assets owned, and reported in our condensed consolidated balance sheets in ‘financial instruments owned, at fair value’, and ‘physical commodities inventory, net’. We will incur losses if the fair value of the financial instruments sold, not yet purchased, increases subsequent to September 30, 2020, which might be partially or wholly offset by gains in the value of assets held as of September 30, 2020. The totals of $686.0 million and $714.8 million include a net liability of $176.8 million and $58.1 for derivatives, based on their fair value as of September 30, 2020 and September 30, 2019, respectively.</w:t>
      </w:r>
    </w:p>
    <w:p>
      <w:pPr>
        <w:spacing w:after="0" w:line="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member of various exchanges that trade and clear futures and option contracts. We are also a member of and provide guarantees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guarantee obligations would arise only if the exchange had previously exhausted its resources. In addition, any such guarantee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condensed consolidated balance sheets as of September 30, 2020 and September 30,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our assets are, to a large extent, liquid in nature, they are not significantly affected by inflation. Increases in our expenses, such as compensation and benefits, transaction-based clearing expenses, occupancy and equipment rental, due to inflation, may not be readily recoverable from increasing the prices of our services. While rising interest rates are generally favorable for us, to the extent that inflation has other adverse effects on the financial markets and on the value of the financial instruments held in inventory, it may adversely affect our financial position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 and expenses during the reported period. The accounting estimates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assumptions discussed in this section are those that we consider the most critical to the financial statements. We believe these estimates and assumptions can involve a high degree of judgment and complexity. Due to their nature, estimates involve judgment based upon available information. Actual results or amounts could differ from estimates and the difference could have a material impact on the financial statements. Therefore, understanding these policies is important in understanding our reported and potential future results of operations and financial position.</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and Foreign Currencies. </w:t>
      </w:r>
      <w:r>
        <w:rPr>
          <w:rFonts w:ascii="Times New Roman" w:cs="Times New Roman" w:eastAsia="Times New Roman" w:hAnsi="Times New Roman"/>
          <w:sz w:val="18"/>
          <w:szCs w:val="18"/>
          <w:color w:val="auto"/>
        </w:rPr>
        <w:t>Substantially all financial instruments are reflected in the consolidated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fair value, or amounts that approximate fair value due to their short-term nature or level of collateralization. These financial instruments include: cash and cash equivalents; cash, securities and other assets segregated under federal and other regulations; securities purchased under agreements to resell; securities borrowed; deposits with and receivables from broker-dealers, clearing organizations, and counterparties; financial instruments owned; securities sold under agreements to repurchase; securities loaned; and financial instruments sold, but not yet purchased. Unrealized gains and losses related to these financial instruments, which are not client owned positions, are reflected in earnings. Where available, we use prices from independent sources such as listed market prices, third-party pricing services, or broker or dealer price quotations. Fair values for certain derivative contracts are derived from pricing models that consider current market and contractual prices for the underlying financial instruments or commodities, as well as time value and yield curve or volatility factors underlying the positions. In some cases, even though the value of a security is derived from an independent market price, or broker or dealer quote, certain assumptions may be required to determine the fair value. However, these assumptions may be incorrect and the actual value realized upon disposition could be different from the current carrying value. The value of foreign currencies, including foreign currencies sold, not yet purchased, are converted into their U.S. dollar equivalents at the foreign exchange rates in effect at the close of business at the end of the accounting period. For foreign currency transactions completed during each reporting period, the foreign exchange rate in effect at the time of the transaction is used.</w:t>
      </w:r>
    </w:p>
    <w:p>
      <w:pPr>
        <w:spacing w:after="0" w:line="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application of the valuation process for financial instruments and foreign currencies is critical because these items represent a significant portion of our total assets and total liabilities. Valuations for substantially all of the financial instruments held are available from independent publishers of market information. The valuation process may involve estimates and judgments in the case of certain financial instruments with limited liquidity and OTC derivatives. Given the wide availability of pricing information, the high degree of liquidity of the majority of our assets, and the relatively short periods for which they are typically held in inventory, there is insignificant sensitivity to changes in estimates and insignificant risk of changes in estimates having a material effect on our consolidated financial statements. The basis for estimating the valuation of any financial instruments has not undergone any change.</w:t>
      </w:r>
    </w:p>
    <w:p>
      <w:pPr>
        <w:spacing w:after="0" w:line="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revenues are derived principally from realized and unrealized trading income in securities, derivative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commodities and foreign currencies purchased or sold for our account. We record realized and unrealized trading income on a trade date basis. We state financial instruments owned and financial instruments sold, not yet purchased and foreign currencies sold, not yet purchased, at fair value with related changes in unrealized appreciation or depreciation reflected in ‘principal gains, net’ in the consolidated income statements. We record fee and interest income on the accrual basis and dividend income is recognized on the ex-dividend date.</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on commodities that are purchased for physical delivery to clients and that are not readily convertible into cash is recognized at the point in time when the commodity has been shipped, title and risk of loss has been transferred to the client, and the following conditions have been met: persuasive evidence of an arrangement exists, the price is fixed and determinable, and collectability of the resulting receivable is reasonably assured.</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critical aspect of revenue recognition is recording all known transactions as of the trade date of each transaction for the financial period. We have developed systems for each of our businesses to capture all known transactions. Recording all known transactions involves reviewing trades that occur after the financial period that relate to the financial period. The accuracy of capturing this information is dependent upon the completeness and accuracy of data capture of the operations systems and our clearing firms.</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We are subject to income taxes in the U.S. and numerous foreign jurisdictions. Significant judgment is required in determining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income taxes and in evaluating tax positions, including evaluating income tax uncertainties. As a result, the company recognizes tax liabilities based on estimates of whether additional taxes and interest will be due. These tax liabilities are recognized when despite our belief that our tax return positions are supportable, we believe that certain positions may not be fully sustained upon review by the relevant tax authorities.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effect on deferred tax assets and liabilities of a change in tax rates is recognized in income in the period that includes the enactment date. Significant judgment is also required in determining any valuation allowance recorded against deferred tax assets. In assessing the need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valuation allowance for deferred tax assets, management considers all available evidence for each jurisdiction including past operating results, estimates of future taxable income, and the feasibility of ongoing tax planning strategies. In the event that we change our determination as to the amount of deferred tax assets that can be realized, we will adjust our valuation allowance with a corresponding impact to income tax expense in the period in which such determination is made.</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that our accruals for tax liabilities are adequate for all open audit years based on our assessment of many factors including past experience and interpretations of tax law. This assessment relies on estimates and assumptions and may involve a series of complex judgments about future events. To the extent that new information becomes available which causes us to change our judgment regarding the adequacy of existing tax liabilities, such changes to tax liabilities will impact income tax expense in the period in which such determination is made. The consolidated income taxes will change period to period based on non-recurring events, such as the settlement of income tax audits and changes in tax law, as well as recurring factors including the geographic mix of income before tax, state and local tax, and the effects of various global income tax strategies.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Acquisition Accounting. </w:t>
      </w:r>
      <w:r>
        <w:rPr>
          <w:rFonts w:ascii="Times New Roman" w:cs="Times New Roman" w:eastAsia="Times New Roman" w:hAnsi="Times New Roman"/>
          <w:sz w:val="18"/>
          <w:szCs w:val="18"/>
          <w:color w:val="auto"/>
        </w:rPr>
        <w:t>In executing our business strategy, we frequently enter into transactions to acquire businesses. We apply acquisition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acquisition to those transactions meeting the definition of a business. Applying acquisition accounting requires us to allocate the purchase consideration to the fair value of the identifiable tangible and intangible assets acquired and liabilities assumed on the acquisition date. In determining the fair value of identifiable assets acquired and liabilities assumed, we frequently utilize the assistance of a third-party valuation specialist. Management applies certain significant assumptions, estimates, and judgments in determining the fair value of assets acquired and liabilities assumed on the acquisition date. These significant assumptions, estimates, and judgements include, but are not limited to, cash flow forecasts, discount rates, client churn rates, royalty rates, and economic lives. Any excess of the purchase consideration over the fair value of the net assets acquired is recorded as goodwill. Alternatively, in instances where the fair value of the net assets acquired exceeds the purchase consideration, we record a bargain purchase gain in the consolidated income statement at the date of acquisition. We include the post-acquisition results of acquired businesses in our consolidated income statements from the date of acquisition. Acquisition related costs are expensed as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w:t>
      </w:r>
    </w:p>
    <w:p>
      <w:pPr>
        <w:spacing w:after="0" w:line="119" w:lineRule="exact"/>
        <w:rPr>
          <w:sz w:val="20"/>
          <w:szCs w:val="20"/>
          <w:color w:val="auto"/>
        </w:rPr>
      </w:pPr>
    </w:p>
    <w:p>
      <w:pPr>
        <w:ind w:right="2100"/>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This ASU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We intend to adopt this guidance during the first quarter of fiscal year 2022. We are currently evaluating the impact that this new guidance will have on our consolidated financial statements.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“Measurement of Credit Losses on Financial Instruments”, which significantly changes the ways entities recognize credit losses on financial instruments. The guidance is effective for public business entities for annual and interim periods in fiscal years beginning after December 15, 2019. In April 2019, the FASB issued ASU No. 2019-04, “Codification Improvements to Topic 326, Financial Instruments - Credit Losses, Topic 815, Derivatives and Hedging, and Topic 825, Financial Instruments”, which among other things, included several amendments to ASU No. 2016-13 changing how a company considers expected recoveries and contractual extensions or renewal options when estimating expected credit losses.</w:t>
      </w:r>
    </w:p>
    <w:p>
      <w:pPr>
        <w:spacing w:after="0" w:line="6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The guidance replaces the current incurred loss impairment guidance and introduces a new credit reserving model known as the Current Expected Credit Loss (“CECL”) model, which is based on expected losses over the life of an asset, and applies to financial assets carried at amortized cost, held-to-maturity debt securities and off-balance sheet credit exposures. The allowance must reflect management’s estimate of credit losses over the life of the assets taking future economic changes into consideration.</w:t>
      </w:r>
    </w:p>
    <w:p>
      <w:pPr>
        <w:spacing w:after="0" w:line="64" w:lineRule="exact"/>
        <w:rPr>
          <w:sz w:val="20"/>
          <w:szCs w:val="20"/>
          <w:color w:val="auto"/>
        </w:rPr>
      </w:pPr>
    </w:p>
    <w:p>
      <w:pPr>
        <w:jc w:val="both"/>
        <w:ind w:right="180"/>
        <w:spacing w:after="0" w:line="236" w:lineRule="auto"/>
        <w:rPr>
          <w:sz w:val="20"/>
          <w:szCs w:val="20"/>
          <w:color w:val="auto"/>
        </w:rPr>
      </w:pPr>
      <w:r>
        <w:rPr>
          <w:rFonts w:ascii="Times New Roman" w:cs="Times New Roman" w:eastAsia="Times New Roman" w:hAnsi="Times New Roman"/>
          <w:sz w:val="18"/>
          <w:szCs w:val="18"/>
          <w:color w:val="auto"/>
        </w:rPr>
        <w:t>The Company has adopted this guidance for fiscal 2021, effective October 1, 2020, using the modified retrospective approach for all in-scope assets. The Company will recognize a cumulative-effect adjustment to beginning retained earnings in the quarter ended December 31, 2020 and does not expect the adoption of this standard to have a material impact on the Company’s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6 to the Consolidated Financial Statements, ‘Financial Instruments with Off-Balance Sheet Risk and Concentrations of Credit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 which we have virtually no control. Our exposure to market risk varies in accordance with the volume of client-driven market-making transactions, the size of the proprietary positions and the volatility of the financial instruments traded.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mitigate exposure to market risk by utilizing a variety of qualitative and quantitative techniques:</w:t>
      </w:r>
    </w:p>
    <w:p>
      <w:pPr>
        <w:spacing w:after="0" w:line="2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business activities and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capital and limits based on estimated weighted risks;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monitoring of positions and mark-to-market profitability.</w:t>
      </w:r>
    </w:p>
    <w:p>
      <w:pPr>
        <w:spacing w:after="0" w:line="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market risk in connection with our retail trading activities. Because we act as counterparty to our retail customers’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customer margin and market liquidity. Our risk-management procedures require our team of senior traders to monitor risk exposure on a continuous basis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the volatility of revenues is a key indicator of the effectiveness of its risk management techniques. The graph below summarizes volatility of our daily revenue, determined on a marked-to-market basis, during the year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3291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September 30, 2020, an immediate 25 basis point decrease in short-term interest rates would result in approximately $6.4 million less in annual pretax income.</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manage interest expense using a combination of variable and fixed rate debt. The debt instruments are carried at their unpaid principal balance which approximates fair value. As of September 30, 2020, $448.2 million of outstanding principal debt was variable-rate debt. We are subject to earnings and liquidity risks for changes in the interest rate on this debt. As of September 30, 2020, $350.0 million of outstanding principal debt was fixed-rate long-term debt.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Virtually all sales and related operating costs are denominated in the currency of the local country and translated into USD for consolidated reporting purposes.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may consider entering into hedging transactions to mitigate our exposure to foreign currency exchange rates. These hedging transactions may not be successful.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StoneX Group Inc. and subsidiaries (the Company) as of September 30, 2020 and 2019, the related consolidated income statements, consolidated statements of comprehensive income, consolidated statements of cash flows, and consolidated statements of stockholders’ equity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September 30, 2020, and the related notes and financial statement schedule (collectively, the consolidated financial statements). In our opinion, the consolidated financial statements present fairly, in all material respects, the financial position of the Company as of September 30, 2020 and 2019,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September 30, 2020, in conformity with U.S. generally accepted accounting principles.</w:t>
      </w:r>
    </w:p>
    <w:p>
      <w:pPr>
        <w:spacing w:after="0" w:line="1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December 14, 2020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have audited StoneX Group Inc. and subsidiaries’ (the Company) internal control over financial reporting as of September 30,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September 30, 2020,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2020 and 2019, and the related consolidated income statements, consolidated statements of comprehensive income, consolidated statements of cash flows, and consolidated statements of stockholders’ equity for each of the years in the three-year period ended September 30, 2020, and the related notes and financial statement schedule (collectively, the consolidated financial statements), and our report dated December 14, 2020 expressed an unqualified opinion on those consolidated financial statements.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Management’s assessment of the effectiveness of the Company’s internal control over financial reporting as of September 30, 2020 excluded the futures and options brokerage and clearing business of UOB Bullion and Futures Limited, acquired with effect from October 7, 2019; IFCM Commodities GmbH, acquired with effect from January 2, 2020; Exotix Partners, LLP, acquired with effect from April 1, 2020; GIROXX GmbH, acquired with effect from May 1, 2020; Tellimer Capital Ltd, acquired with effect from June 1, 2020; and Gain Capital Holdings, Inc., acquired with effect from July 30, 2020. These acquired businesses had aggregate total assets of $1,788.2 million and total revenues of $67.5 million included in the Company’s consolidated financial statements as of and for the year ended September 30, 2020. Our audit of internal control over financial reporting of the Company also excluded an evaluation of the internal control over financial reporting of the futures and options brokerage and clearing business of UOB Bullion and Futures Limited, IFCM Commodities GmbH, Exotix Partners, LLP, GIROXX GmbH, Tellimer Capital Ltd, and Gain Capital Holdings,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par value and share amounts)</w:t>
            </w:r>
          </w:p>
        </w:tc>
        <w:tc>
          <w:tcPr>
            <w:tcW w:w="418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6"/>
          <w:szCs w:val="16"/>
          <w:color w:val="auto"/>
        </w:rPr>
        <w:t>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 (including $2.6 million and $306.0 million at fair value at</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1,049.9</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2020 and September 30, 2019,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w:t>
            </w:r>
          </w:p>
        </w:tc>
        <w:tc>
          <w:tcPr>
            <w:tcW w:w="0" w:type="dxa"/>
            <w:vAlign w:val="bottom"/>
          </w:tcPr>
          <w:p>
            <w:pPr>
              <w:spacing w:after="0"/>
              <w:rPr>
                <w:sz w:val="1"/>
                <w:szCs w:val="1"/>
                <w:color w:val="auto"/>
              </w:rPr>
            </w:pPr>
          </w:p>
        </w:tc>
      </w:tr>
      <w:tr>
        <w:trPr>
          <w:trHeight w:val="189"/>
        </w:trPr>
        <w:tc>
          <w:tcPr>
            <w:tcW w:w="8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borrowed</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1,423.2</w:t>
            </w:r>
          </w:p>
        </w:tc>
        <w:tc>
          <w:tcPr>
            <w:tcW w:w="0" w:type="dxa"/>
            <w:vAlign w:val="bottom"/>
          </w:tcPr>
          <w:p>
            <w:pPr>
              <w:spacing w:after="0"/>
              <w:rPr>
                <w:sz w:val="1"/>
                <w:szCs w:val="1"/>
                <w:color w:val="auto"/>
              </w:rPr>
            </w:pPr>
          </w:p>
        </w:tc>
      </w:tr>
      <w:tr>
        <w:trPr>
          <w:trHeight w:val="135"/>
        </w:trPr>
        <w:tc>
          <w:tcPr>
            <w:tcW w:w="8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 (including $1,775.8 million and $626.9 million at</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3,629.9</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2,540.5</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at September 30, 2020 and September 30, 2019,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35"/>
        </w:trPr>
        <w:tc>
          <w:tcPr>
            <w:tcW w:w="8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Financial instruments owned, at fair value (includes securities pledged as collateral that can be sold or repledged of $468.6 million and</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2,727.7</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$478.8 million at September 30, 2020 and September 30, 2019,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Physical commodities inventory, net (including $215.7 million and $151.9 million at fair value at September 30, 2020 and September 30, 2019,</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82"/>
        </w:trPr>
        <w:tc>
          <w:tcPr>
            <w:tcW w:w="86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13,474.9</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wp:posOffset>
            </wp:positionV>
            <wp:extent cx="1663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620" w:type="dxa"/>
            <w:vAlign w:val="bottom"/>
            <w:shd w:val="clear" w:color="auto" w:fill="CCEEFF"/>
          </w:tcPr>
          <w:p>
            <w:pPr>
              <w:ind w:left="360"/>
              <w:spacing w:after="0" w:line="137" w:lineRule="exact"/>
              <w:rPr>
                <w:sz w:val="20"/>
                <w:szCs w:val="20"/>
                <w:color w:val="auto"/>
              </w:rPr>
            </w:pPr>
            <w:r>
              <w:rPr>
                <w:rFonts w:ascii="Times New Roman" w:cs="Times New Roman" w:eastAsia="Times New Roman" w:hAnsi="Times New Roman"/>
                <w:sz w:val="14"/>
                <w:szCs w:val="14"/>
                <w:color w:val="auto"/>
              </w:rPr>
              <w:t>Accounts payable and other accrued liabilities (including $1.5 million and $1.8 million at fair value at September 30, 2020 and September 30,</w:t>
            </w: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2019, respectively)</w:t>
            </w:r>
          </w:p>
        </w:tc>
        <w:tc>
          <w:tcPr>
            <w:tcW w:w="4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Payables to:</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Clients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3,589.5</w:t>
            </w:r>
          </w:p>
        </w:tc>
        <w:tc>
          <w:tcPr>
            <w:tcW w:w="0" w:type="dxa"/>
            <w:vAlign w:val="bottom"/>
          </w:tcPr>
          <w:p>
            <w:pPr>
              <w:spacing w:after="0"/>
              <w:rPr>
                <w:sz w:val="1"/>
                <w:szCs w:val="1"/>
                <w:color w:val="auto"/>
              </w:rPr>
            </w:pPr>
          </w:p>
        </w:tc>
      </w:tr>
      <w:tr>
        <w:trPr>
          <w:trHeight w:val="135"/>
        </w:trPr>
        <w:tc>
          <w:tcPr>
            <w:tcW w:w="862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auto"/>
              </w:rPr>
              <w:t>Broker-dealers, clearing organizations and counterparties (including $14.7 million and $5.6 million at fair value at September 30, 2020</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and September 30, 2019,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Lenders under loans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2,773.7</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0" w:type="dxa"/>
            <w:vAlign w:val="bottom"/>
          </w:tcPr>
          <w:p>
            <w:pPr>
              <w:spacing w:after="0"/>
              <w:rPr>
                <w:sz w:val="1"/>
                <w:szCs w:val="1"/>
                <w:color w:val="auto"/>
              </w:rPr>
            </w:pPr>
          </w:p>
        </w:tc>
      </w:tr>
      <w:tr>
        <w:trPr>
          <w:trHeight w:val="183"/>
        </w:trPr>
        <w:tc>
          <w:tcPr>
            <w:tcW w:w="8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9,341.9</w:t>
            </w: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4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62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Common stock, $0.01 par value. Authorized 30,000,000 shares; 21,798,551 issued and 19,376,594 outstanding at September 30, 2020 and</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21,297,317 issued and 19,075,360 outstanding at September 30, 2019</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in treasury, at cost - 2,421,957 shares at September 30, 2020 and 2,221,957 shares at September 30, 2019</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82"/>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208"/>
        </w:trPr>
        <w:tc>
          <w:tcPr>
            <w:tcW w:w="8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13,474.9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60" w:type="dxa"/>
            <w:vAlign w:val="bottom"/>
            <w:tcBorders>
              <w:bottom w:val="single" w:sz="8" w:color="auto"/>
            </w:tcBorders>
          </w:tcPr>
          <w:p>
            <w:pPr>
              <w:spacing w:after="0"/>
              <w:rPr>
                <w:sz w:val="16"/>
                <w:szCs w:val="16"/>
                <w:color w:val="auto"/>
              </w:rPr>
            </w:pPr>
          </w:p>
        </w:tc>
      </w:tr>
      <w:tr>
        <w:trPr>
          <w:trHeight w:val="18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52,899.2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31,830.3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26,682.4</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9"/>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8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32,897.0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27,622.7</w:t>
            </w:r>
          </w:p>
        </w:tc>
      </w:tr>
      <w:tr>
        <w:trPr>
          <w:trHeight w:val="189"/>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52,831.3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31,790.9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26,646.9</w:t>
            </w:r>
          </w:p>
        </w:tc>
      </w:tr>
      <w:tr>
        <w:trPr>
          <w:trHeight w:val="18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r>
      <w:tr>
        <w:trPr>
          <w:trHeight w:val="18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acquisitions and other gains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8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8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18,824,328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18,738,905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18,549,011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8"/>
        </w:trPr>
        <w:tc>
          <w:tcPr>
            <w:tcW w:w="7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19,180,479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19,014,395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18,934,830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9"/>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Pension liabilities adjustment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Reclassification of adjustment for losses (gains) included in net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73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Periodic pension costs (included in compensation and benefits)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9"/>
        </w:trPr>
        <w:tc>
          <w:tcPr>
            <w:tcW w:w="7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Foreign currency gains realized upon dissolution of subsidiaries (included in principal gains, net)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Reclassification adjustment for losses (gains) included in net income</w:t>
            </w: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(Recovery) bad debt on physical coal</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operating right of use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bad debts, net of recoveries and impairment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and extinguishment of debt issuance costs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Actuarial gain on pension and postretirement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share-based compensation expense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acquisition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Notes receivable,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Physical commodities inventory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Payable to clients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Payable to broker-dealers, clearing organizations and counterparties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w:t>
            </w:r>
          </w:p>
        </w:tc>
      </w:tr>
      <w:tr>
        <w:trPr>
          <w:trHeight w:val="18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r>
      <w:tr>
        <w:trPr>
          <w:trHeight w:val="182"/>
        </w:trPr>
        <w:tc>
          <w:tcPr>
            <w:tcW w:w="768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 acquisitions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 of clearing organization common stock</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9"/>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3"/>
        </w:trPr>
        <w:tc>
          <w:tcPr>
            <w:tcW w:w="76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lenders under loans with maturities 90 days or less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lenders under loans with maturities greater than 90 days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lenders under loans with maturities greater than 90 days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secured term loan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senior secured term loan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secured notes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 of senior secured notes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Repayments of note payable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 repurchase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2"/>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Withholding taxes on stock option exercises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9"/>
        </w:trPr>
        <w:tc>
          <w:tcPr>
            <w:tcW w:w="7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segregated cash, cash equivalents, and segregated cash equivalents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segregated cash, cash equivalents, and segregated cash equivalents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2,659.8</w:t>
            </w:r>
          </w:p>
        </w:tc>
      </w:tr>
      <w:tr>
        <w:trPr>
          <w:trHeight w:val="18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4,468.4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2,287.6</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(continued)</w:t>
            </w:r>
          </w:p>
        </w:tc>
        <w:tc>
          <w:tcPr>
            <w:tcW w:w="240" w:type="dxa"/>
            <w:vAlign w:val="bottom"/>
          </w:tcPr>
          <w:p>
            <w:pPr>
              <w:spacing w:after="0"/>
              <w:rPr>
                <w:sz w:val="16"/>
                <w:szCs w:val="16"/>
                <w:color w:val="auto"/>
              </w:rPr>
            </w:pPr>
          </w:p>
        </w:tc>
        <w:tc>
          <w:tcPr>
            <w:tcW w:w="2460" w:type="dxa"/>
            <w:vAlign w:val="bottom"/>
            <w:gridSpan w:val="6"/>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Income taxes paid, net of cash refunds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8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Identified intangible assets and goodwill on acquisitions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Acquisition of businesses: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Assets acquired</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7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Liabilities acquired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8"/>
        </w:trPr>
        <w:tc>
          <w:tcPr>
            <w:tcW w:w="7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segregated cash, cash equivalents, and segregated cash equivalents reported within the consolidated balance sheets.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Cash segregated under federal and other regulations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765.5</w:t>
            </w:r>
          </w:p>
        </w:tc>
        <w:tc>
          <w:tcPr>
            <w:tcW w:w="0" w:type="dxa"/>
            <w:vAlign w:val="bottom"/>
          </w:tcPr>
          <w:p>
            <w:pPr>
              <w:spacing w:after="0"/>
              <w:rPr>
                <w:sz w:val="1"/>
                <w:szCs w:val="1"/>
                <w:color w:val="auto"/>
              </w:rPr>
            </w:pPr>
          </w:p>
        </w:tc>
      </w:tr>
      <w:tr>
        <w:trPr>
          <w:trHeight w:val="135"/>
        </w:trPr>
        <w:tc>
          <w:tcPr>
            <w:tcW w:w="76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segregated and deposited with or pledged to exchange-clearing organizations and other futures commission merchants</w:t>
            </w: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947.4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(“FCMs”)</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Securities segregated and pledged to exchange-clearing organizations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0" w:type="dxa"/>
            <w:vAlign w:val="bottom"/>
          </w:tcPr>
          <w:p>
            <w:pPr>
              <w:spacing w:after="0"/>
              <w:rPr>
                <w:sz w:val="1"/>
                <w:szCs w:val="1"/>
                <w:color w:val="auto"/>
              </w:rPr>
            </w:pPr>
          </w:p>
        </w:tc>
      </w:tr>
      <w:tr>
        <w:trPr>
          <w:trHeight w:val="20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segregated cash, cash equivalents, and segregated cash equivalents shown in the consolidated statements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firstLine="8"/>
        <w:spacing w:after="0" w:line="288" w:lineRule="auto"/>
        <w:tabs>
          <w:tab w:leader="none" w:pos="149"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segregated client cash held at third-party banks. Excludes segregated commodity warehouse receipts, segregated United States (“U.S.”) Treasury obligations with original or acquired maturities of greater than 90 days, and other assets of $13.0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$306.0 million, and $643.2 million as of September 30, 2020, 2019, and 2018, respectively, included within ‘Cash, securities and other assets segregated under federal and other regulations’ on the consolidated balance sheets.</w:t>
      </w:r>
    </w:p>
    <w:p>
      <w:pPr>
        <w:spacing w:after="0" w:line="188" w:lineRule="exact"/>
        <w:rPr>
          <w:rFonts w:ascii="Times New Roman" w:cs="Times New Roman" w:eastAsia="Times New Roman" w:hAnsi="Times New Roman"/>
          <w:sz w:val="18"/>
          <w:szCs w:val="18"/>
          <w:color w:val="auto"/>
          <w:vertAlign w:val="superscript"/>
        </w:rPr>
      </w:pPr>
    </w:p>
    <w:p>
      <w:pPr>
        <w:jc w:val="both"/>
        <w:ind w:firstLine="8"/>
        <w:spacing w:after="0" w:line="239" w:lineRule="auto"/>
        <w:tabs>
          <w:tab w:leader="none" w:pos="17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segregated client cash and U.S. Treasury obligations on deposit with, or pledged to, exchange clearing organizations and other FCMs. Excludes non-segregated cash, segregated securities pledged to exchange-clearing organizations with original or acquired maturities greater than 90 days, and other assets of $2,021.3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$1,304.4 million, and $1,054.7 million as of September 30, 2020, 2019, and 2018, respectively, included within ‘Deposits with and receivables from broker-dealers, clearing organizations, and counterparties, net’ on the consolidated balance sheets.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4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as of September 30, 2017</w:t>
            </w: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Balances as of September 30, 2018</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stock</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Balances as of September 30, 2019</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ASU 2018-02 cumulative transition adjustment</w:t>
            </w:r>
          </w:p>
        </w:tc>
        <w:tc>
          <w:tcPr>
            <w:tcW w:w="8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Adjusted Balances as of September 30, 2019</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stock</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Balances as of September 30, 2020</w:t>
            </w: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Significant Accounting Policies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StoneX Group Inc., a Delaware corporation, and its consolidated subsidiaries (collectively “SNEX” or “the Company”), is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The Company offers a vertically integrated product suite, beginning with high-touch and electronic access to nearly all major financial markets worldwide, as well as numerous liquidity venues. It delivers this access through the entire lifecycle of a trade, from deep market expertise and on-the-ground intelligence, to best execution and finally post-trade clearing, custody and settlement services. The Company has created a revenue stream that is diversified by asset class, client type and geography, earning commissions and spreads as clients execute transactions across our financial network, monetizing non-trading client activity including interest and fee earnings on client balances as well as earning consulting and fees for our market intelligence and risk management services.</w:t>
      </w:r>
    </w:p>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provides these services to a diverse group of more than 32,000 commercial and institutional clients and over 330,000 retail clients located in more than 130 countries, including commercial entities, asset managers, regional, national and introducing broker-dealers, insurance companies, brokers, institutional investors and professional traders, commercial and investment banks and government and non-governmental organizations (“NGOs”).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shareholders voted and approved to change the Company’s name from INTL FCStone Inc. to StoneX Group Inc. on June 24, 2020. The change in the Company’s name became effective on July 7, 2020 and the Company’s common stock began trading on The NASDAQ Global Select Market under the symbol “SNEX”.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StoneX Group Inc. and all other entities in which the Company has a controlling financial interest. All material intercompany transactions and balances have been eliminated in consolidation.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all references to fiscal 2020, fiscal 2019, and fiscal 2018 refer to the Company’s fiscal years ended September 30.</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consolidated income statements, the total revenues reported combine gross revenues for the physical commodities business and net revenues for all other businesses. The subtotal ‘operating revenues’ in the consolidated income statements is calculated by deducting physical commodities cost of sales from total revenues. The subtotal ‘net operating revenues’ in the consolidated income statements is calculated as operating revenues less transaction-based clearing expenses, introducing broker commissions and interest expense. Transaction-based clearing expenses represent variable expenses paid to executing brokers, exchanges, clearing organizations and banks in relation to transactional volumes. Introducing broker commissions include commission paid to non-employee third parties that have introduced clients to the Company. Net operating revenues represent revenues available to pay variable compensation to risk management consultants and traders and direct non-variable expenses, as well as variable and non-variable expenses of operational and administrative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disclosure of contingent liabilities as of the date of the financial statements and the reported amounts of revenue and expenses during the reporting period. The most significant of these estimates and assumptions relate to fair value measurements for financial instruments, revenue recognition, the provision for probable losses from bad debts, valuation of inventories, and incomes taxes and contingencies. These estimates are based on management’s best knowledge of current events and actions the Company may undertake in the future. The Company reviews all significant estimates affecting the financial statements on a recurring basis and records the effect of any necessary adjustments prior to their issuance. Although these and other estimates and assumptions are based on the best available information, actual results could be materially different from these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Subsidiaries Consolidation</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discussed further in Note 21, on January 14, 2019 the Company acquired 100% of the U.S.-based broker-dealer GMP Securities LLC (“GMP”). Subsequent to the acquisition date, the legal name of GMP was changed to INTL FCStone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Trading LLC (“IFT”). Effective May 1, 2019, the Company merged IFT into StoneX Financial Inc. (“StoneX Financial”). As such, the assets, liabilities and equity of IFT were transferred into StoneX Financial.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2020, the Company reclassified certain selling and marketing related costs in connection with the acquisition of Gain Capital Holdings, Inc. (“Gain”). In performing this reclassification, the Company has made retrospective adjustments to the consolidated income statements for the years ended September 30, 2019 and 2018. For the years ended September 30, 2019 and 2018, selling and marketing related costs of $5.2 million and $6.2 million, were reclassified from ‘Other’ expense to ‘Selling and marketing’ expense.</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the Company reclassified certain brokerage related revenues for which the Company earns commissions on trading activity in the capacity of an agent. In performing this reclassification, the Company has made a retrospective adjustment to the consolidated income statement for the year ended September 30, 2018. For the year ended September 30, 2018, brokerage related revenue of $35.0 million, was reclassified from ‘principal gains, net’ to ‘commissions and clearing fees’. Additionally, the Company has changed the name of the line item ‘trading gains, net’ to ‘principal gains, net’ on the consolidated income statement in order to reflect the fact that these revenue streams are earned from trading financial instruments in the capacity of a principal and in order to properly segregate revenues earned from contracts with clients.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2540"/>
        <w:spacing w:after="0" w:line="276" w:lineRule="auto"/>
        <w:rPr>
          <w:sz w:val="20"/>
          <w:szCs w:val="20"/>
          <w:color w:val="auto"/>
        </w:rPr>
      </w:pPr>
      <w:r>
        <w:rPr>
          <w:rFonts w:ascii="Times New Roman" w:cs="Times New Roman" w:eastAsia="Times New Roman" w:hAnsi="Times New Roman"/>
          <w:sz w:val="17"/>
          <w:szCs w:val="17"/>
          <w:color w:val="auto"/>
        </w:rPr>
        <w:t>The Company’s consolidated financial statements are reported in U.S. dollars. The Company’s foreign subsidiaries maintain their records either in U.S. dollars or in certain instances the currency of the country in which they operate. The</w:t>
      </w:r>
    </w:p>
    <w:p>
      <w:pPr>
        <w:spacing w:after="0" w:line="1"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17"/>
          <w:szCs w:val="17"/>
          <w:color w:val="auto"/>
        </w:rPr>
        <w:t>method of translating local currency financial information into U.S. dollars depends on whether the economy in which the foreign subsidiary operates has been designated as highly inflationary or not. Economies with a three-year cumulative inflation rate of more than 100% are considered highly inflationary.</w:t>
      </w:r>
    </w:p>
    <w:p>
      <w:pPr>
        <w:spacing w:after="0" w:line="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subsidiaries in non-highly inflationary economies are translated into U.S. dollars using rates of exchange at the balance sheet date. Translation adjustments are recorded in other comprehensive income (loss). Revenues and expense are translated at rates of exchange in effect during the year. Transaction gains and losses are recorded in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 that operate in highly inflationary countries use the U.S. dollar as their functional currency. Local currency</w:t>
      </w:r>
    </w:p>
    <w:p>
      <w:pPr>
        <w:spacing w:after="0" w:line="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monetary assets and liabilities are remeasured into U.S. dollars using rates of exchange as of each balance sheet date, with remeasurement adjustments and other transaction gains and losses recognized in earnings. Nonmonetary assets and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fluctuate with changes in the local currency exchange rates to the dollar as the translated amounts for nonmonetary</w:t>
      </w:r>
    </w:p>
    <w:p>
      <w:pPr>
        <w:spacing w:after="0" w:line="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assets and liabilities at the end of the accounting period in which the economy becomes highly inflationary becomes the accounting basis for those assets and liabilities in the period of change and subsequent periods. Revenues and expenses are translated at rates of exchange in effect during the year.</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operates asset management and debt trading businesses in Argentina through various wholly-owned subsidiaries. Operating revenues from the Argentinean subsidiaries represented approximately 2% of the consolidated operating revenues for the year ended September 30, 2020. The operating environment in Argentina continues to present business challenges, including ongoing devaluation of the Argentine peso and significant inflation. For the year ended September 30, 2018, the Argentine peso declined approximately 139% (from 17.3 to 41.3 pesos to the U.S. dollar). Based upon inflationary data published by the International Practices Task Force of the Center for Audit Quality, the economy of Argentina became highly inflationary during the three months ended June 30, 2018.</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Beginning July 1, 2018, the Company designated Argentina’s economy as highly inflationary for accounting purposes. As a result, the Company has accounted for the Argentinean entities using the U.S. dollar as their functional currency beginning in the quarter ending September 30, 2018. Argentine peso-denominated monetary assets and liabilities are remeasured at each balance sheet date to the currency exchange rate then in effect, with currency remeasurement gains and loses recognized in earnings. The translated balances for nonmonetary assets and liabilities as of June 30, 2018, became the accounting basis for those assets in the period of change and subsequent periods. As a result of Argentina’s highly inflationary status, the Company recorded translation losses through earnings of $3.9 million and $3.4 million for the years ended September 30, 2019 and 2018, respectively. Translation adjustments recorded through earnings were de minimis for the year ended September 30, 2020, as the Company has implemented strategies to reduce the exposure to the Argentine peso.</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September 30, 2020, the Company had net monetary liabilities denominated in Argentine pesos of $0.1 million, compared to net monetary assets of $5.5 million at September 30, 2019. The Company held cash and cash equivalents denominated in Argentine pesos of $0.1 million and $1.4 million as of September 30, 2020 and 2019, respectively. At September 30, 2020 and 2019, the Company had net nonmonetary assets denominated in Argentine pesos of $0.9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Company considers cash held at banks and all highly liquid investments not held for trading purposes, with original or acquired maturities of 90 days or less, including certificates of deposit and money market mutual funds, to be cash and cash equivalents. Cash and cash equivalents consists of cash, certificates of deposit, and money market mutual funds not deposited with or pledged to clearing organizations, broker-dealers, clearing organizations or counterparties, or segregated under federal or other regulations. Certificates of deposit are stated at cost plus accrued interest, which approximates fair value, and may be withdrawn at any time at the discretion of the Company without penalty. Money market mutual funds are stated at their net asset value.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Securities and Other Assets Segregated under Federal and other Regulations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requirements of the Commodity Exchange Act and Commission Regulation 30.7 of the U.S. Commodity Futures Trading Commission (“CFTC”) in the U.S., the Markets in Financial Instruments Implementing Directive 2006/73/EC underpinning the Client Asset (“CASS”) rules in the Financial Services Authority (“FSA”) handbook in the United Kingdom (“U.K.”), and the Securities &amp; Futures Act (“SFA”) in Singapore, funds deposited by clients relating to futures and options on futures contracts in regulated commodities must be carried in separate accounts which are designated as segregated or secured client accounts. Additionally, in accordance with Rule 15c3-3 of the Securities Exchange Act of 1934 (“Rule 15c3-3”), the Company maintains separate accounts for the exclusive benefit of securities clients and proprietary accounts of broker dealers (“PABs”). Rule 15c3-3 requires the Company to maintain special reserve bank accounts (“SRBAs”) for the exclusive benefit of securities clients and PABs. The deposits in segregated client accounts and SRBAs are not commingled with the funds of the Company. Under the FSA’s rules, certain categories of clients may choose to opt-out of segregation. As of September 30, 2020 and September 30, 2019, cash, securities, and other assets segregated under federal and other regulations consisted of cash held at banks of approximately $1,907.2 million and $743.9 million, respectively, U.S. Treasury obligations of approximately $10.6 million and $299.8 million, respectively, and commodities warehouse receipts of approximately $2.4 million and $6.2 million, respectively (see fair value measurements discussion in Note 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Transactions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enters into securities purchased under agreements to resell, securities sold under agreements to repurchase, securities borrowed transactions, and securities loaned transactions primarily to fund principal debt trading, acquire securities to cover short positions, acquire securities for settlement, or meet counterparty needs under matched-booked trading strategies.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transactions are accounted for as collateralized financing transactions and are recorded at their contractual amounts plus accrued interest. In connection with these agreements and transactions, it is the policy of the Company to receive or pledge cash or securities to collateralize such agreements and transactions in accordance with contractual arrangements. The Company monitors the fair value of the collateral on a daily basis and the Company may require counterparties, or may be required by counterparties, to deposit additional collateral or return collateral pledged. Interest income and interest expense are recognized over the life of the arrangements and are recorded in the statement of income as interest income or interest expense, as applicable. The carrying amount of these transactions approximate fair value due to their short-term nature and the level of collateralization. These transactions are reported gross, except when a right of offset exists and the other criteria for netting under Financial Accounting Standards Board (“FASB”) Accounting Standards Codification (“ASC”) 210-20, Balance Sheet - Offsetting are met.</w:t>
      </w:r>
    </w:p>
    <w:p>
      <w:pPr>
        <w:spacing w:after="0" w:line="80"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Deposits with and Receivables from Broker-dealers, Clearing Organizations and Counterparties, and Payables to Broker-dealers, Clearing Organizations and Counterparties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required by regulations of the CFTC, FSA, and Monetary Authority of Singapore (“MAS”), client funds received to margin, guarantee, and/or secure commodity futures and futures on options as well as retail foreign exchange transactions are segregated and accounted for separately from the general assets of the Company. Deposits with broker-dealers, clearing organizations, and counterparties pertain primarily to deposits made to satisfy margin requirements on client and proprietary open futures and options on futures positions and to satisfy the requirements set by clearing exchanges for clearing membership. The Company also pledges margin deposits with various counterparties for over-the-counter (“OTC”) derivative contracts, and these deposits are also included in deposits with broker-dealers, clearing organizations, and counterparties. The Company also deposits cash margin with various securities clearing organizations as an ongoing condition of the securities clearing relationships, and these deposits are also included in deposits with broker-dealers, clearing organizations, and counterparties. Deposits with and receivables from broker-dealers, clearing organizations, and counterparties are reported gross, except where a right of offset exists. As of September 30, 2020 and September 30, 2019, the Company had cash and cash equivalents on deposit with or pledged to broker-dealers, clearing organizations, and counterparties of approximately 1.6 billion.</w:t>
      </w:r>
    </w:p>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includes guaranty deposits with clearing exchanges. The guaranty deposits are held by the clearing exchanges for use in potential default situations by 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or more members of the clearing exchanges. The guaranty deposits may be applied to the Company’s obligations to the clearing exchange, or to the clearing exchange’s obligations to unrelated parties.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 securities pledged to clearing exchanges. These securities are either pledged to the Company by its clients or represent investments of client funds. It is the Company’s practice to include client-owned securities on its consolidated balance sheets, as the rights to those securities have been transferred to the Company under the terms of the futures trading agreements. Securities pledged primarily include U.S. Treasury obligations, foreign government obligations, and certain exchange-traded funds (“ETFs”). Securities that are not client-owned, and represent an investment of client funds, are adjusted to fair value with associated changes in unrealized gains or losses recorded in ‘interest income’ in the consolidated income statements. For client-owned securities, the change in fair value is offset against the payable to clients with no impact recognized in the consolidated income statements. The fair value of these securities included within deposits with and receivables from broker-dealers, clearing organizations, and counterparties was $1,949.3 million and $603.8 million as of September 30, 2020 and September 30, 2019, respectively.</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has considered guidance required by ASC 860, Transfers and Servicing as it relates to securities pledged by clients to margin their futures and options on futures trading accounts. Based on a review of the agreements with the client, management believes the transferor surrenders control over those assets because: (a) the transferred assets have been isolated from the transferor—put presumptively beyond the reach of the transferor and its creditors, even in bankruptcy or other receivership, (b) each transferee has the right to pledge or exchange the assets (or beneficial interests) it received, and no condition both constrains the transferee (or holder) from taking advantage of its right to pledge or exchange and provides more than a trivial benefit to the transferor and (c) the transferor does not maintain effective control over the transferred assets through either (1) an agreement that both entitles and obligates the transferor to repurchase or redeem them before their maturity or (2) the ability to unilaterally cause the holder to return specific assets, other than through a cleanup call. Under this guidance, the Company reflects the client collateral assets and corresponding liabilities in the Company’s consolidated balance sheets as of September 30, 2020 and September 30, 2019.</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includes amounts due from clearing exchanges for unrealized gains and losses associated with clients’ options on futures contracts. See discussion in the Financial Instruments section below for additional information on the Company’s accounting policies for derivative contracts. For client-owned derivative contracts, the fair value is offset against the payable to clients with no impact recognized on the consolidated income statements.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maintains client omnibus and proprietary accounts with other clearing organizations, and the equity balances in those accounts along with any margin cash or securities deposited with the clearing organizations are included in deposits with and receivables from broker-dealers, clearing organizations, and counterparties.</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 amounts due from or due to clearing exchanges for daily variation settlements on open futures and options on futures positions. The variation settlements due from or due to clearing exchanges are paid in cash on the following business day. Variation settlements equal the daily settlement of futures contracts and premiums on options on futures contracts.</w:t>
      </w:r>
    </w:p>
    <w:p>
      <w:pPr>
        <w:spacing w:after="0" w:line="6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Receivables from broker-dealers and counterparties also include amounts receivable for securities sold but not yet delivered by the Company on settlement date (“fails-to-deliver”) and net receivables arising from unsettled proprietary trades.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Payables to broker-dealers and counterparties primarily include amounts payable for securities purchased but not yet received by the Company on settlement date (“fails-to-receive”) and net payables arising from unsettled proprietary trades.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Receivables from broker-dealers, clearing organizations and counterparties, and payables to broker-dealers, clearing organizations and counterparties also include amounts related to the value of registered broker-dealer clients cross-currency payment transactions related to the Global Payments segment. These amounts arise due to a clearing period before the funds are received and payments are made, which usually is one to two business days.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from and Payable to Clients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Receivable from clients, net of the allowance for doubtful accounts, include the total of net deficits in individual exchange-traded futures and OTC derivative trading accounts carried by the Company. Client deficits arise from realized and unrealized trading losses on client futures, options on futures, swaps and forwards and amounts due on cash and margin transactions. Client deficit accounts are reported gross of client accounts that contain net credit or positive balances, except where a right of offset exists. Net deficits in individual futures exchange-traded and OTC derivative trading accounts include both secured and unsecured deficit balances due from clients as of the balance sheet date. Secured deficit amounts are backed by U.S. Treasury obligations and commodity warehouse receipts. These U.S Treasury obligations and commodity warehouse receipts are not netted against the secured deficit amounts, as the conditions for right of setoff have not been met. See note 13 for additional discussion of client deficit accounts originating in November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Receivable from clients, net also includes the net amounts receivable from securities clients in connection with the settlement of regular-way cash securities, margin loans to clients, and client cash debits. It is the Company’s policy to report margin loans and payables that arise due to positive cash flows in the same client’s accounts on a net basis when the conditions for netting as specified in U.S. GAAP are met. Clients’ securities transactions cleared by the Company are recorded on a settlement date basis. Securities cleared by the Company and pledged to the Company as a condition of the custodial clearing arrangements are owned by the clients, including those that collateralize margin or other similar transactions, and are not reflected on the consolidated balance sheets as the Company does not have title to, or beneficial interests, in those assets. In the event of uncompleted transactions on settlement date, the Company records corresponding receivables and payables, respectively. The carrying value of the receivables and payables approximates fair value due to their short-term nature.</w:t>
      </w:r>
    </w:p>
    <w:p>
      <w:pPr>
        <w:spacing w:after="0" w:line="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Receivables from clients, net also include amounts receivable from non-broker-dealer clients for securities sold but not yet delivered by the Company on settlement date (“fails-to-deliver”) and net receivables arising from unsettled proprietary trades.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Payable to clients represent the total of client accounts with credit or positive balances. Client accounts are used primarily in connection with exchange-traded and OTC commodity, foreign exchange, precious metals, and securities transactions and include gains and losses on open trades as well as securities and cash margin deposits made as required by the Company, the exchange-clearing organizations or other clearing organizations. Client accounts with credit or positive balances are reported gross of client deficit accounts, except where a right of offset exists.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Payables to broker-dealers and counterparties also includes amounts payable to non-broker-dealer clients for securities purchased but not yet received by the Company on settlement date (“fails-to-receive”) and net payables arising from unsettled proprietary trades.</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Receivable from and payables to clients also include amounts related to the value of non-registered broker-dealer clients cross-currency payment transactions related to the Global Payments segment. These amounts arise due to a clearing period before the funds are received and payments are made, which usually is one to two business days.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future collectability of receivables from clients can be impacted by the Company’s collection efforts, the financial stability of its clients, and the general economic climate in which it operates. The Company evaluates accounts that it believes may become uncollectible on a specific identification basis, through reviewing daily margin deficit reports, the historical daily aging of the receivables, and by monitoring the financial strength of its clients. The Company may unilaterally close client trading positions in certain circumstances. In addition, to evaluate client margining and collateral requirements, client positions are stress tested regularly and monitored for excessive concentration levels relative to the overall market size. Furthermore, in certain instances, the Company is indemnified, and able to charge back, introducing broker-dealers for bad debts incurred by their clients.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generally charges off an outstanding receivable balance when all economic means of recovery have been exhausted. That determination considers information such as the occurrence of significant changes in the client’s financial position such that the client can no longer pay the obligation, or that the proceeds from collateral will not be sufficient to pay the balance.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Accrual of commodity financing income on any note is discontinued when, in the opinion of management, there is reasonable doubt as to the timely collectability of interest or principal. Nonaccrual notes are returned to an accrual status when, in the opinion of management, the financial position of the borrower indicates there is no longer any reasonable doubt as to the timely payment of principal and interest. The Company records a charge against earnings for notes receivable losses when management believes that the collection of outstanding principal is not probable.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Commodities Inventory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Inventories of certain agricultural commodities are carried at net realizable value, which approximates fair value less disposal costs. The agricultural commodities inventories have reliable, readily determinable and realizable market prices, have relatively predictable and insignificant costs of disposal and are available for immediate delivery. Changes in the fair values of these agricultural commodities inventories are included as a component of ‘cost of sales of physical commodities’ in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Inventories of energy related products are valued at the lower of cost or net realizable value. Inventories of precious metals held by subsidiaries that are not broker-dealers are valued at the lower of cost or net realizable value, using the weighted-average price and first-in first-out costing method.</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Precious metals inventory held by StoneX Financial Ltd, a U.K. based broker-dealer subsidiary, is measured at fair value, with changes in fair value included as a component of ‘principal gains, net’ in the consolidated income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and depreciated using the straight-line method over the estimated useful lives of the assets. Leasehold improvements are amortized on a straight-line basis over the estimated useful life of the improvement or the term of the lease, whichever is shorter. Expenditures that increase the value or productive capacity of assets are capitalized. When property and equipment are retired, sold, or otherwise disposed of, the asset’s carrying amount and related accumulated depreciation are removed from the accounts and any gain or loss is included in earnings.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costs incurred to develop its trading platforms and related software in accordance with ASC 350-40, Internal-Use Software. ASC 350-40 requires that such technology be capitalized in the application development stages. Costs related to training, administration and non-value added maintenance are charged to expense as incurred. Capitalized software development costs are amortized over the useful life of the software, which the Company estimates at three years.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ASC 360-10, Property, Plant and Equipment, the Company periodically evaluates the carrying value of long-lived assets when events and circumstances warrant such review. The carrying value of a long-lived asset is considered impaired when the anticipated identifiable undiscounted cash flows from such an asset (or asset group) are less than carrying value. In that event, a loss is recognized in the amount by which the carrying value exceeds fair market value of the long-lived asset. This standard applies to assets held for use and not to assets held for sale. The Company has no assets held for sale. The Company has identified no such impairment indicators as of September 30, 2020 or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applies acquisition accounting on the date of acquisition to those transactions meeting the definition of a business under ASC 805. Applying acquisition accounting requires the Company to allocate the purchase consideration to the fair value of the identifiable tangible and intangible assets acquired and liabilities assumed on the acquisition date. In determining the fair value of identifiable assets acquired and liabilities assumed, the Company frequently utilize the assistance of a third-party valuation specialist. The Company applies certain significant assumptions, estimates, and judgments in determining the fair value of assets acquired and liabilities assumed on the acquisition date. These significant assumptions, estimates, and judgements include, but are not limited to, cash flow forecasts, discount rates, client churn rates, royalty rates, and economic lives. Any excess of the purchase consideration over the fair value of the net assets acquired is recorded as goodwill. Alternatively, in an instance where the fair value of the net assets acquired exceeds the purchase consideration, the Company records a bargain purchase gain in the consolidated income statement at the date of acquisition. While the Company uses its best estimates and assumptions as a part of the purchase price allocation to accurately value assets acquired and liabilities assumed at the acquisition date, these estimates are inherently uncertain and subject to refinement. As a result, during the remeasurement period, which may extend one year from the acquisition date, the Company may record adjustments to the assets acquired and liabilities assumed, with the corresponding offset to goodwill or bargain purchase gain. Upon conclusion of the measurement period or final determination of the fair values of assets acquired and liabilities assumed, whichever comes first, any subsequent adjustments are recorded to the consolidated income statements rather than adjusted through goodwill or bargain purchase gains. The Company includes the post-acquisition results of acquired businesses in the consolidated income statements from the date of acquisition. Acquisition related costs, such as fees for attorneys, accountants, and investment bankers, are expensed as incurred and are not capitalized as part of the purchase price.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Goodwill is the cost of acquired companies in excess of the fair value of identifiable net assets at the acquisition date. Goodwill is not subject to amortization, but rather is evaluated for impairment at least annually.</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its goodwill for impairment at the fiscal year end (or more frequently if indicators of potential impairment exist) in accordance with ASC 350, Intangibles - Goodwill and Other. Goodwill impairment is determined by comparing the estimated fair value of a reporting unit with its respective carrying value. If the estimated fair value exceeds the carrying value, goodwill at the reporting unit level is not deemed to be impaired. However, if the estimated fair value is below carrying value, further analysis is required to determine the amount of the impairment. This further analysis involves assigning tangible assets and liabilities, identified intangible assets and goodwill to reporting units and comparing the fair value of each reporting unit to its carrying amount.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the course of the evaluation of the potential impairment of goodwill, the Company may perform either a qualitative or a quantitative assessment. The Company’s qualitative assessment of potential impairment may result in the determination that a quantitative impairment analysis is not necessary. Under this elective process, the Company assesses qualitative factors to determine whether the existence of events or circumstances leads the Company to determine that it is more likely than not that the fair value of a reporting unit is less than its carrying amount. If after assessing the totality of events or circumstances, the Company determines it is more likely than not that the fair value of a reporting unit is greater than its carrying amount, then performing a quantitative analysis is not required. However, if the Company concludes otherwise, then the Company performs a quantitative impairment analysis.</w:t>
      </w:r>
    </w:p>
    <w:p>
      <w:pPr>
        <w:spacing w:after="0" w:line="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the Company either chooses not to perform a qualitative assessment, or the Company chooses to perform a qualitative assessment but is unable to qualitatively conclude that no impairment has occurred, then the Company performs a quantitative evaluation. In the case of a quantitative assessment, the Company estimates the fair value of the reporting unit which the goodwill that is subject to the quantitative analysis is associated (generally defined as the businesses for which financial information is available and reviewed regularly by management) and compares it to the carrying value. If the estimated fair value of a reporting unit is less than its carrying value, the Company estimates the fair value of all assets and liabilities of the reporting unit, including goodwill. If the carrying value of the reporting unit’s goodwill is greater than the estimated fair value, an impairment charge is recognized for the excess. The fair value of the Company’s reporting units exceeded their respective carrying values under the first step of the quantitative assessment and no impairment charges were recorded for any of the periods presented.</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Identifiable intangible assets subject to amortization are amortized using the straight-line method over their estimated period of benefit, ranging from five to twenty years. Identifiable intangible assets are tested for impairment whenever events or changes in circumstances suggest that an asset’s or asset group’s carrying value may not be fully recoverable. Residual value is presumed to be zero for all identifiable intangible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Owned and Sold, Not Yet Purchased</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Financial instruments owned and sold, not yet purchased, at fair value consist of financial instruments carried at fair value on a recurring basis or amounts that approximate fair value, with related realized and unrealized gains and losses recognized in current period earnings. Realized and unrealized gains and losses on financial instruments owned and sold, not yet purchased, are included in ‘principal gains, net’, ‘interest income’, ‘interest expense’, and ‘cost of sales of physical commodities’ in the consolidated income statements. The fair value of a financial instrument is the amount at which the instrument could be exchanged in a current transaction between willing parties, other than in a forced or liquidation sale.</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Financial instruments owned and sold, not yet purchased are comprised primarily of the financial instruments held by the Company’s broker-dealer subsidiaries and the Company’s OTC derivative swap dealer. Financial instruments owned and financial instruments sold, not yet purchased, includes trading securities that the Company holds as a principal. The Company has not classified any financial instruments owned or sold, not yet purchased, as available-for-sale or held-to-maturity.</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includes derivative instruments that the Company holds as a principal which are primarily transacted on an OTC basis. As a derivatives dealer, the Company utilizes derivative instruments to manage exposures to foreign currency, commodity price and interest rate risks for the Company and its clients. The Company’s objectives for holding derivatives include reducing, eliminating, and efficiently managing the economic impact of these exposures as effectively as possible. The Company’s derivative instruments also include forward purchase and sale commitments for the physical delivery of agricultural and energy related commodities in a future period. Contracts to purchase agricultural and energy commodities generally relate to the current or future crop year. Contracts for the sale of agricultural and energy commodities generally do not extend beyond one year.</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Derivative instruments are recognized as either assets or liabilities and are measured at fair value on a recurring basis. As the Company does not elect hedge accounting for any derivative instruments, realized and unrealized gains and losses from the change in fair value of derivative instruments are recognized immediately in current period earnings. Realized and unrealized gains and losses from the derivative instruments in which the Company acts as a dealer are included within ‘principal gains, net’ on the consolidated income statements. Realized and unrealized gains and losses on firm purchase and sale commitments are included within ‘cost of sales of physical commodities’ on the consolidated income statements.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credit exposure on the derivative instruments for which the Company acts as a dealer, the Company may enter into a master netting arrangement that allows for settlement of all derivative transactions with each counterparty. In addition, the credit support annex that accompanies master netting arrangements allows parties to the master netting agreement to mitigate their credit risk by requiring the party which is out of the money to post collateral. The Company accepts collateral in the form of cash or other marketable securities. Where permitted, the Company elects to net-by-counterparty certain derivative instruments entered into under a legally enforceable master netting agreement and, therefore, the fair value of those derivative instruments are netted by counterparty in the consolidated balance sheets. As the Company elects to net-by-counterparty the fair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such derivative instruments, the Company also nets-by-counterparty cash collateral exchanged as part of those derivative instruments.</w:t>
      </w:r>
    </w:p>
    <w:p>
      <w:pPr>
        <w:spacing w:after="0" w:line="11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 also brokers foreign exchange forwards, options and cash, or spot, transactions between clients and external counterparties. A portion of the contracts are arranged on an offsetting basis, limiting the Company’s risk to performance of the two offsetting parties. The offsetting nature of the contracts eliminates the effects of market fluctuations on the Company’s operating results. Due to the Company’s role as a principal participating in both sides of these contracts, the amounts are presented gross on the consolidated balance sheets at their respective fair values, net of offsetting assets and liabilities.</w:t>
      </w:r>
    </w:p>
    <w:p>
      <w:pPr>
        <w:spacing w:after="0" w:line="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holds proprietary positions in its foreign exchange line of business. On a limited basis, the Company’s foreign exchange trade desk will accept a client transaction and will offset that transaction with a similar but not identical position with a counterparty. These unmatched transactions are intended to be short-term in nature and are often conducted to facilitate the most effective transaction for the Company’s client. These spot and forward contracts are accounted for as free-standing derivatives and reported in the consolidated balance sheets at their fair values.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may lease commodities to or from clients or counterparties. These commodity leases, which primarily involve precious metals, are recorded at fair value utilizing the fair value option based on guidance in ASC 825-10, Financial Instruments - Fair Value Option. These commodities leases represent hybrid financial instruments which contain both a dollar denominated loan host contract and an embedded forward derivative contract on the underlying commodities, which can be settled in either cash or metals. As permitted by the fair value option election, the entire instrument is recorded at fair value as either an asset or liability in the consolidated balance sheets. The corresponding change in the fair value of the instrument is recognized in the consolidated income statements as a component of ‘principal gains, net’ for the fiscal years ended September 30, 2020, 2019, and 2018. The Company does elect to value all of their commodities lease agreements at fair value using the fair value option.</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types of financial instruments owned and sold, not yet purchased, as well as the related valuation techniques refer to Note 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and Clearing Organization Memberships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is required to hold certain exchange and clearing organization memberships and pledges them for clearing purposes, in order to provide the Company the right to process trades directly with the respective venues. Exchange memberships include seats on the Chicago Board of Trade (“CBOT”), the Minneapolis Grain Exchange, the New York Mercantile Exchange (“NYMEX”), the Commodity Exchange, Inc. (“COMEX”) Division of the New York Mercantile Exchange, Mercado de Valores de Buenos Aires S.A. (“MERVAL”), the Chicago Mercantile Exchange (“CME”) Growth and Emerging Markets, InterContinental Exchange, Inc. (“ICE”) Futures US, ICE Europe Ltd and London Metal Exchange (“LME”). Exchange firm and clearing organization common stock include shares of CME Group, Inc., ICE, LME, and the Depository Trust &amp; Clearing Corporation (“DTCC”).</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Exchange and clearing organization memberships required in order to conduct business through the respective venues are recorded at cost and are included in ‘other assets’ on the consolidated balance sheets. Equity investments in exchange firm common stock not required in order to conduct business on the exchanges are classified as trading securities included within ‘financial instruments owned’ on the consolidated balance sheets and recorded at fair value, with unrealized gains and losses recorded as a component of ‘principal gains, net’ on the consolidated income statements. The fair value of exchange firm common stock not required in order to conduct business on the exchanges is determined from quoted market prices.</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Exchange memberships that represent (a) both an ownership interest and the right to conduct business in the respective venues and are held for operating purposes, or (b) an ownership interest, which must be held by the Company to conduct business in the respective venues are accounted for as an ownership interest at cost with appropriate consideration for other-than-temporary impairment. The cost of exchange and clearing organization memberships that represent an ownership interest and are required in order to conduct business in the respective venues was $5.6 million as of September 30, 2020 and September 30, 2019 compared to a fair value of $6.7 million and $6.0 million as of September 30, 2020 and September 30, 2019, respectively. Fair value was determined using quoted market prices and recent transactions.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Alternatively, exchange memberships, or seats, that only represent the right to conduct business on an exchange, but not an ownership interest in the exchange, are accounted for as intangible assets at cost with potential impairment determined under Accounting Standards Codification </w:t>
      </w:r>
      <w:r>
        <w:rPr>
          <w:rFonts w:ascii="Times New Roman" w:cs="Times New Roman" w:eastAsia="Times New Roman" w:hAnsi="Times New Roman"/>
          <w:sz w:val="18"/>
          <w:szCs w:val="18"/>
          <w:i w:val="1"/>
          <w:iCs w:val="1"/>
          <w:color w:val="auto"/>
        </w:rPr>
        <w:t>350-30- Intangibles</w:t>
      </w:r>
    </w:p>
    <w:p>
      <w:pPr>
        <w:ind w:right="240" w:firstLine="8"/>
        <w:spacing w:after="0" w:line="253" w:lineRule="auto"/>
        <w:tabs>
          <w:tab w:leader="none" w:pos="10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The cost of exchange memberships required in order to conduct business on the exchange, but that do not represent an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exchange, was $5.8 million as of September 30, 2020 and September 30, 2019. As of September 30, 2020, there were no indicators of impairment that would suggest that the carrying value of exchange memberships that don’t represent an ownership interest are impaired, primarily based upon projections of future cash flows and earnings attributable to access these respective venues.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Financing Arrangements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normal course of operations, the Company executes notes receivable under repurchase agreements with clients whereby the clients sell certain commodity inventory or other investments to the Company and agree to repurchase the commodity inventory or investment at a future date at a fixed price. These transactions are short-term in nature, and in accordance with the guidance contained in ASC 860, Transfer and Servicing, are treated as secured borrowings rather than commodity inventory and purchases and sales in the Company’s consolidated financial statements. These transactions are reflected as ‘notes receivable’ in the consolidated balance sheet. Commodities or investments sold under repurchase agreements are reflected at the amount of cash received in connection with the transactions. The Company may be required to provide additional collateral based on the fair value of the underlying asset.</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also participates in commodity repurchase transactions that are accounted for as commodity inventory and purchases and sales of physical commodities as opposed to secured borrowings. The repurchase price under these arrangements is not fixed at the time of execution and, therefore, do not meet all the criteria to be accounted for as product financing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Lenders Under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under loans are accounted for at amortized cost, which approximates fair value due to their variable rates of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borrowings are accounted for at amortized cost, and are stated net of unamortized deferred financing costs and original issue discount.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estimates and records the acquisition date estimated fair value of contingent consideration as part of purchase price consideration for acquisitions. Additionally, each reporting period, the Company estimates changes in the fair value of contingent consideration, and any change in fair value is recognized in the consolidated income statements. An increase in the contingent consideration expected to be paid will result in a charge to operations in the period that the anticipated fair value of contingent consideration increases, while a decrease in the earn-out expected to be paid will result in a credit to operations in the period that the anticipated fair value of contingent consideration decreases. The estimate of the fair value of contingent consideration requires subjective assumptions to be made of future operating results, discount rates, and probabilities assigned to various potential operating result scenarios.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for a discussion of the Company’s significant accounting policies related to revenue recognition.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of Physical Commodities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Cost of sales of physical commodities include finished commodity or raw material and processing costs along with operating costs relating to the receipt, storage and delivery of the physical commodities. Cost of sales of physical commodities also includes changes in the fair value of agricultural commodity inventories held for sale, and related forward purchase and sale commitments and exchange-traded futures and options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is recognized on an accrual basis. Interest expense is incurred on outstanding balances on the Company’s credit facilities. Interest expense is also incurred on fixed income securities sold, not yet purchased, that the Company holds in its market-marking businesses. Interest expense is also incurred from collateralized transactions, including securities loaned and securities sold under agreements to repurchase.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and benefits consists primarily of salaries, incentive compensation, variable compensation, including commissions, related payroll taxes and employee benefits. The Company classifies employees as either risk management consultants / traders, operational or administrative personnel, which includes the executive officers. Variable compensation paid to risk management consultants and traders generally represents a fixed percentage of revenues generated, and in some cases, revenues produced less direct costs and an overhead allocation. The Company accrues commission expense on a trade-date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the guidance in ASC 718-10, Compensation - Stock Compensation. The cost of employee services received in exchange for a share-based award is generally measured based on the grant-date fair value of the award. Share-based employee awards that require future service are amortized over the relevant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service period. Forfeitures are accounted for as they occur in determining share-based employee compensation expense. For option awards granted, compensation cost is recognized on a straight-line basis over the vesting period for the entire award.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Transaction-Based Clearing Expenses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Clearing fees and related expenses include primarily variable expenses for clearing and settlement services, including fees the Company pays to executing brokers, exchanges, clearing organizations and banks. These fees are based on transaction volume, and recorded as expense on the trade date. Clearing fees are passed on to clients and are presented gross in the consolidated statements of income as the Company acts as a principal for these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Introducing Broker Commissions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Introducing broker commissions include commissions paid to non-employee third parties that have introduced clients to the Company. Introducing brokers are individuals or organizations that maintain relationships with clients and accept futures and options orders from those clients. The Company directly provides all account, transaction and margining services to introducing brokers, including accepting money, securities and property from the clients. The commissions are determined and settled monthly.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 expense includes U.S. federal, state and local and foreign income taxes. Certain items of income and expense are not reported in tax returns and financial statements in the same year. The objectives of accounting for income taxes are to recognize the amount of taxes payable or refundable for the current year. The Company utilizes the asset and liability method to provide income taxes on all transactions recorded in the consolidated financial statements. This method requires that income taxes reflect the expected future tax consequences of temporary differences between the carrying amounts of assets or liabilities for book and tax purposes. Accordingly, a deferred tax asset or liability for each temporary difference is determined based on the tax rates that the Company expects to be in effect when the underlying items of income and expense are realized. Judgment is required in assessing the future tax consequences of events that have been recognized in the Company’s financial statements or tax returns, including the repatriation of undistributed earnings of foreign subsidiaries. In assessing the realizability of deferred tax assets, management considers whether it is more likely than not that some or all of the deferred tax assets will not be realized. The Company recognizes the tax benefit from an uncertain tax position only if it is more likely than not that the tax position will be sustained on examination by the taxing authority, based upon the technical merits of the position. The tax benefit recognized in the consolidated financial statements from such a position is measured based on the largest benefit that has a greater than 50% likelihood of being realized upon ultimate settlement. See Note 20 for further information on the Company’s income taxes.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additional paid-in capital (“APIC”) consists of stockholder contributions that are in excess of par value of common stock. Included in APIC are amounts related to the exercise of stock options and amortization of share-based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net income and other gains and losses affecting stockholders’ equity that, under U.S. GAAP, are excluded from net income. Other comprehensive income (loss) includes net actuarial gains and losses from defined benefit pension plans and gains and losses on foreign currency translations.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one million shares of preferred stock, par value of $0.01 per share, in one or more classes or series to be established by the Company’s board of directors. As of September 30, 2020 and September 30, 2019, no preferred shares were outstanding and the Company’s board of directors had not yet established any class or series of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(Topic 842). This update requires a lessee to recognize on the balance sheet a liability to make lease payments and a corresponding right-of-use asset. The guidance also requires certain qualitative and quantitative disclosures about the amount, timing and uncertainty of cash flows arising from leases. In July 2018, the FASB issued ASU 2018-10, Codification Improvements to Topic 842, Leases and ASU 2018-11, Leases (Topic 842) Targeted Improvements. In March 2019, the FASB issued ASU 2019-01, Leases (Topic 842) Codification Improvements. Among other things, this updated guidance provides an optional transition method, which allows for the initial application of the new accounting standard at the adoption date and the recognition of a cumulative-effect adjustment to the opening balance of retained earnings as of the beginning of the period of adoption. The Company adopted the new ASUs on October 1, 2019, using the effective date modified retrospective transition approach and has not restated comparative periods. The Company elected the package of practical expedients permitted under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transition guidance within the new standard, which among other things, allowed the Company to not reassess contracts to determine if they contain leases, lease classification and initial direct costs. The Company’s application of the new standard resulted in changes to the condensed consolidated balance sheet but did not have an impact on the condensed consolidated income statement. See Note 2 for more information.</w:t>
      </w:r>
    </w:p>
    <w:p>
      <w:pPr>
        <w:spacing w:after="0" w:line="10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February 2018, the FASB issued ASU 2018-02, Income Statement – Reporting Comprehensive Income (Topic 220): Reclassification of Certain Tax Effects from Accumulated Other Comprehensive Income. The amendments in this updated standard allow a reclassification from accumulated other comprehensive loss, net to retained earnings for stranded tax effects resulting from the Tax Cuts and Jobs Act of 2017. The Company adopted this standard on October 1, 2019 and, as a result, recorded a $0.7 million reclassification between accumulated other comprehensive loss, net and retained earnings.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currently leases office space under non-cancelable operating leases with third parties as of September 30, 2020. Leases with an initial term of 12 months or less are not recorded on the condensed consolidated balance sheet and the Company recognizes lease expense for these leases on a straight-line basis over the lease term. Certain office space leases include one or more options to renew, with renewal terms that can extend the lease term from three to ten years, and some of which include the Company’s option to terminate the leases within two years of the balance sheet date. The Company has not considered any renewal options in the lease terms of its office space leases as the Company does not believe it is reasonably certain that any of the rights will be exercised. In determining the term of certain office space leases, the Company has not included the periods covered by an option to terminate if the Company believes it is reasonably certain to do so.</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the office space leases do not provide an implicit rate, the Company applies a collateralized incremental borrowing rate based on the information available at the lease commencement date in determining the present value of lease payments. The Company applied a collateralized incremental borrowing rate as of October 1, 2019 for operating leases that commenced prior to that date. For office space leases executed by subsidiaries, including foreign subsidiaries, the Company has applied the incremental borrowing rate of the parent company. The Company believes this is a reasonable approach as its subsidiaries either do not have their own treasury functions or the credit facilities available to its subsidiaries do not permit the financing of right-of-use assets. Additionally, in certain instances, the parent company provides a guarantee of the lease payments to the lessor under office space leases executed by its subsidiaries. As such, the Company believes that the pricing of subsidiary leases is more significantly influenced by the credit standing of the parent company than that of its subsidiaries.</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Certain office space leases contain variable lease payments related to fair market rent adjustments and local inflation index measures. The Company estimates variable lease payments based upon information available at the lease commencement date in determining the present value of lease payments. The Company applied information available as of October 1, 2019 for operating leases that commenced prior to that date.</w:t>
      </w:r>
    </w:p>
    <w:p>
      <w:pPr>
        <w:spacing w:after="0" w:line="68"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 Company has elected to not separate lease components from nonlease components for all office space leases. The Company does not have any financing leases as of September 30, 2020. Operating lease expense is recognized on a straight-line basis over the lease term and is reported within ‘occupancy and equipment rental’ on the condensed consolidated statement of income.</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recorded operating lease right-of-use assets and operating lease liabilities of $101.5 million and $118.7 million, respectively. As of October 1, 2019, in conjunction with the adoption of the new accounting standard, the Company recorded operating lease right-of-use assets and operating lease liabilities of $33.1 million and $36.2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lease costs and other related information as of and for the year ended September 30, 2020 (in millions, except as stated):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95"/>
        </w:trPr>
        <w:tc>
          <w:tcPr>
            <w:tcW w:w="9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8"/>
        </w:trPr>
        <w:tc>
          <w:tcPr>
            <w:tcW w:w="92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Operating lease costs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17.2</w:t>
            </w:r>
          </w:p>
        </w:tc>
      </w:tr>
      <w:tr>
        <w:trPr>
          <w:trHeight w:val="270"/>
        </w:trPr>
        <w:tc>
          <w:tcPr>
            <w:tcW w:w="9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18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 and non-cash activity:</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12.1</w:t>
            </w:r>
          </w:p>
        </w:tc>
      </w:tr>
      <w:tr>
        <w:trPr>
          <w:trHeight w:val="18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96.4</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term and discount rate information:</w:t>
            </w:r>
          </w:p>
        </w:tc>
        <w:tc>
          <w:tcPr>
            <w:tcW w:w="4400" w:type="dxa"/>
            <w:vAlign w:val="bottom"/>
            <w:shd w:val="clear" w:color="auto" w:fill="CCEEFF"/>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4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short-term leases and variable lease costs, which are immaterial.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lease liabilities are as follows as of September 30, 2020 (in millions):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89"/>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9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9"/>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After 2025</w:t>
            </w:r>
          </w:p>
        </w:tc>
        <w:tc>
          <w:tcPr>
            <w:tcW w:w="9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2"/>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r>
      <w:tr>
        <w:trPr>
          <w:trHeight w:val="18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9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83"/>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for the adoption of Topic 842, the Company is presenting its operating lease commitment table as of September 30, 2019, which was previously disclosed in Note 12 of the Company’s Annual Report on Form 10-K for the fiscal year ended September 30, 2019 (in millions):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9"/>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9"/>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3"/>
        </w:trPr>
        <w:tc>
          <w:tcPr>
            <w:tcW w:w="9000" w:type="dxa"/>
            <w:vAlign w:val="bottom"/>
          </w:tcPr>
          <w:p>
            <w:pPr>
              <w:spacing w:after="0"/>
              <w:rPr>
                <w:sz w:val="15"/>
                <w:szCs w:val="15"/>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1"/>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Clients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Beginning on October 1, 2018, the Company accounts for revenue earned from contracts with clients for services such as the execution, clearing, brokering, and custody of futures and options on futures contracts, OTC derivatives, and securities, investment management, and underwriting services under Topic 606. As such, revenues for these services are recognized when the performance obligations related to the underlying transaction are completed.</w:t>
      </w:r>
    </w:p>
    <w:p>
      <w:pPr>
        <w:spacing w:after="0" w:line="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are transferred to clients,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new revenue recognition model does not apply to revenues associated with dealing, or market-making, activities in financial instruments or contracts in the capacity of a principal, including derivative sales contracts which result in physical settlement and interest income.</w:t>
      </w:r>
    </w:p>
    <w:p>
      <w:pPr>
        <w:spacing w:after="0" w:line="9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revenues from contracts with clients subject to Topic 606 represent approximately 0.9%, 1.4%, and 1.7% of the Company’s total revenues for the years ended September 30, 2020, 2019, and 2018 respectively. The Company’ revenues from contracts with clients subject to Topic 606 represent approximately 37.2%, 40.9%, and 47.4% of the Company’s operating revenues for the years ended September 30, 2020, 2019, and 2018, respectively.</w:t>
      </w:r>
    </w:p>
    <w:p>
      <w:pPr>
        <w:spacing w:after="0" w:line="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Revenues within the scope of Topic 606 are presented within ‘Commission and clearing fees’ and ‘Consulting, management, and account fees’ on the consolidated income statements. Revenues that are not within the scope of Topic 606 are presented within ‘sales of physical commodities’, ‘principal gains, net’, and ‘interest income’ 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the Company’s total revenues separated between revenues from contracts with clients and other sources of revenue for the years ended September 30, 2020, 2019, and 2018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r>
      <w:tr>
        <w:trPr>
          <w:trHeight w:val="188"/>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contracts with clients: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Sales-based:</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Exchange-traded futures and options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18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OTC derivative brokerage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Equities and fixed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2"/>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sales-based commission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Trailing:</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2"/>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trailing commission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08"/>
        </w:trPr>
        <w:tc>
          <w:tcPr>
            <w:tcW w:w="7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Clearing fees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Trade conversion fees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9"/>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3"/>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commission and clearing fees: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r>
      <w:tr>
        <w:trPr>
          <w:trHeight w:val="108"/>
        </w:trPr>
        <w:tc>
          <w:tcPr>
            <w:tcW w:w="7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9"/>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Underwriting fees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 management fees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Advisory and consulting fees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Sweep program fees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Client account fees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2"/>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consulting, management, and account fees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208"/>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Method of revenue recognition: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Point-in-time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r>
      <w:tr>
        <w:trPr>
          <w:trHeight w:val="189"/>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Time elapsed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r>
      <w:tr>
        <w:trPr>
          <w:trHeight w:val="182"/>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r>
      <w:tr>
        <w:trPr>
          <w:trHeight w:val="189"/>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Physical precious metals trading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51,598.5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30,694.5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25,762.9</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Physical agricultural and energy product trading</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w:t>
            </w:r>
          </w:p>
        </w:tc>
      </w:tr>
      <w:tr>
        <w:trPr>
          <w:trHeight w:val="189"/>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18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83"/>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54,139.6</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32,897.0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substantial majority of the Company’s performance obligations for revenues from contracts with clients are satisfied at a point in time and are typically collected from clients by debiting their accounts with the Company.</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Commission and clearing fees revenue and consulting, management, and account fees revenue are primarily related to the Commercial and Institutional reportable segments. Principal gains, net are contributed by all of the Company’s reportable segments. Interest income is primarily related to the Commercial and Institutional reportable segments. Precious metals trading and agricultural and energy product trading revenues are primarily related to the Commercial reportable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Clearing Fees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Commission revenue represents sales and brokerage commissions generated by internal brokers, introducing broker-dealers, or registered investment advisors of introducing-broker dealers for their clients’ trading activity in futures, options on futures,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OTC derivatives, fixed income securities, equity securities, mutual funds, and annuities. The Company views the selling, distribution, and marketing, or any combination thereof, of mutual funds and insurance and annuity products to clients on the Company’s registered investment advisor (“RIA”) platform as a single performance obligation to the product sponsors.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the principal for commission revenue, as it is responsible for the execution of the clients’ purchases and sales, and maintains relationships with product sponsors for trailing commission. Introducing broker dealers and registered investment advisors assist the Company in performing its obligations. Accordingly, total commission revenues are reported on a gross basis.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primarily generates commission revenue on exchange-traded derivatives, OTC derivatives, and securities. Exchange-traded and OTC derivative commissions are recognized at a point in time on the trade date when the client, either directly or through the use of an internal broker or introducing broker, requests the clearance and execution of a trade. Securities commissions are either sale-based commissions that are recognized at a point in time on the trade date or trailing commission that are recognized over time as earned. Sales-based securities commissions are typically a flat fee per security transaction and in certain instances are based on a percentage of the trade date transaction value.</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Trailing commission revenue is generally based on a percentage of the periodic fair value of clients’ investment holdings in trail-eligible assets, and is recognized over the period during which services, such as on-going support, are performed. As trailing commission revenue is based on the fair value of clients’ investment holdings in trail-eligible assets, this variable consideration is constrained until the fair value of trail-eligible assets is determinable.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Clearing fees generally represent transactional based fees charged by the various exchanges and clearing organizations for which the Company or one of its clearing brokers is a member for the privilege of executing and clearing trades through them. Clearing fees are generally passed through to the clients’ accounts and are reported gross as the Company maintains control over the clearing and execution services provided, maintains relationships with the exchanges or clearing brokers, and has ultimate discretion in whether the fees are passed through to the clients and the rates at which they are passed through. As clearing fees are transactional based revenues they are recognized at a point in time on the trade date along with the related commission revenue when the client requests the clearance and execution of a trade.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Conversion Fees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Trade conversion fees include revenue earned from converting foreign ordinary equities into an American Depository Receipt (“ADR”) or Global Depository Receipt (“GDR”) and fees earned from converting an ADR or GDR into foreign ordinary equities on behalf of clients. Trade conversion revenue is recognized at a point in time on the trade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investment banking consists of revenues earned from underwriting fixed income securities, primarily municipal and asset-backed securities, and are recognized in revenues upon completion of the underlying transaction, which is generally the trade date, based upon the terms of the assignment as the performance obligation is to successfully broker a specific transaction.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 Fees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earns asset management fees on Company sponsored and managed mutual funds and on the advisory accounts of independent registered investment advisors on the Company’s platform. The Company provides ongoing investment advice and acts as a custodian, providing brokerage and execution services on transactions, and performs administrative services for these accounts. This series of performance obligations transfers control of the services to the client over time as the services are performed. This revenue is recognized ratably over time to match the continued delivery of the performance obligations to the client over the life of the contract. The asset management revenue generated is based on a percentage of the market value of the eligible assets in the clients’ accounts. As such, the consideration for this revenue is variable and this variable consideration is constrained until the market value of eligible assets in the clients’ accounts is determinable.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and Consulting Fees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Advisory and consulting fees are primarily related to risk management consulting fees which are billed and recognized as revenue on a monthly basis when risk management services are provided. Risk management consulting contracts are generally for a minimum term of six months and then continue from month to month, but may be terminated at any time after the original six months by either party upon providing written notice. Advisory and consulting fees are not variable based on client trading activities. This revenue is generally recognized ratably over time to match the continued delivery of the performance obligation to the client over the life of the contract.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Sweep Program Fees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earns fees generated in lieu of interest income from a multi-bank sweep program with unaffiliated banks and money market funds. Pursuant to contractual arrangements with clients and their introducing-brokers, available cash balances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client accounts are swept into either Federal Deposit Insurance Corporation (“FDIC”) insured cash accounts at unaffiliated banks or unaffiliated money market funds for which the Company earns a portion of the interest income generated by the client balances for administration and recordkeeping. The fees generated by the Company’s multi-bank sweep program are reported net of the balances remitted to the introducing-brokers and the clients of introducing-brokers. These fees are paid and recognized over time to match the continued delivery of the administration and recordkeeping performance obligations to the life of the contract. The fees earned under this program are generally based upon the type of sweep account, prevailing interest rates, and the amount of client balances invested.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Accounts Fees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Client accounts fees represent fees earned for custodial, recordkeeping, and administrative functions performed for the securities clearing accounts of clients. These include statement delivery fees, account transfer fees, safekeeping fees, errors and omission insurance fees, platform fees, and other fees. Client account fees that are transactional based, such as account transfer fees, are recognized at a point in time when the related performance obligation is satisfied. Client account fees that are related to ongoing services, such as statement delivery fees and errors and omission insurance fees, are recognized over time. Client account fees that relate to ongoing services are typically billed to clients’ accounts on a monthly or quarterly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Precious Metals Trading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principally generates revenue from trading physical precious metals on an OTC basis. Revenues from the sale of physical precious metals are recorded on a trade date basis and generally settle on an unallocated basis. Substantially all of the Company’s sales of precious metals are conducted using sales contracts that meet the definition of derivative instruments in accordance with ASC 815, Derivatives and Hedging (“Topic 815”). The contracts underlying the Company’s commitment to deliver precious metals are referred to as fixed price forward commodity contracts because the price of the commodity is fixed at the time the order is placed. Although the contracts typically are executed on a spot basis and settle on unallocated account, the client has the option to request delivery of the precious metals, the option to net settle out of the position by executing an offsetting trade, or the option to roll the transaction to a subsequent maturity date. Thus, the sales contracts contain embedded option derivatives that would be subject to the guidance in Topic 815. As the contracts are subject to the guidance in Topic 815, the fixed price derivative sales contracts are outside the scope of Topic 606. The Company recognizes revenue when control of the inventory is transferred within the meaning of Topic 606.</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Physical precious metals trading revenue generated by registered broker-dealer subsidiaries are presented on a net basis and included as a component of ‘Principal gains, net’ in the consolidated income statements, in accordance with U.S GAAP accounting requirements for broker-dealers. Physical precious metals trading revenue for subsidiaries that are not broker-dealers continue to be recorded on a gross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Agricultural and Energy Product Trading</w:t>
      </w:r>
    </w:p>
    <w:p>
      <w:pPr>
        <w:spacing w:after="0" w:line="121"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The Company principally generates revenue from merchandising and originating physical agricultural and energy commodities from forward firm sales commitments accounted in accordance with Topic 815. The fixed and provisionally-priced derivative sales contracts that result in physical delivery are outside the scope of Topic 606. The Company recognizes revenue when control of the inventory is transferred within the meaning of Topic 606.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Gains, Net</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Principal gains, net includes revenues on financial transactions or contracts for which the Company acts as principal that is reported on a net basis and is primarily outside the scope of ASC 606. Principal gains, net includes margins generated from OTC derivative trades, equities, fixed income, precious metals, and foreign exchange executed with clients and other counterparties and are recognized on a trade-date basis. Principal gains, net, also includes realized and unrealized gains and losses derived principally from market making activities in OTC derivatives, equities, fixed income, and foreign exchange. Net dealer inventory and investment gains are recognized on a trade-date basis and include realized gains or losses and changes in unrealized gains or losses on investments at fair value. Principal gains, net also includes dividend income on long equity positions and dividend expense on short equity positions, which are recognized on the ex-dividend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income is generated from client funds deposited with the Company to satisfy margin requirements which is held by third-party banks or on deposit with or pledged to exchange-clearing organizations or other FCMs. Interest income is also generated from the investment of client funds in allowable securities, primarily U.S. Treasury obligations. Interest income is also generated from trading fixed income securities that the Company holds in its market-making businesses. Interest income also includes interest generated from collateralized transactions, including securities borrowed and securities purchased under agreements to resell, and from extending margin loans to clients. Interest income is recognized on an accrual basis and is not within the scope of Topic 606.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are services that the firm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Similar to above, risk management consulting contracts are generally for a minimum term of six months and then continue from month to month, but may be terminated at any time after the original six months by either party upon providing written notice. Asset management contracts may be terminated by the client at any time. For the Company’s asset management activities, where fees are calculated based on a percentage of the market value of eligible assets in client’s accounts, future revenue associated with remaining performance obligations cannot be determined as such fees are subject to fluctuations in the market value of eligible assets in clients’ accounts.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applied Topic 606’s practical expedient that permits for the non-disclosure of the value of performance obligations for (i) contracts with an original expected length or one year or less and (ii) contracts for which the Company recognizes revenue at the amount to which is has the right to invoice for services performed.</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has also applied Topic 606’s practical expedient that allows for no adjustment to consideration due to a significant financing component if the expectation at contract inception is such that the period between payment by the client and the transfer of the promised goods or services to the client will be one year or less.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net income per share computations for the periods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r>
      <w:tr>
        <w:trPr>
          <w:trHeight w:val="18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Less: Allocation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allocated to common stockholders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 average number of:</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18,824,328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18,738,905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18,549,011</w:t>
            </w: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Dilutive potential common shares 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385,819</w:t>
            </w:r>
          </w:p>
        </w:tc>
      </w:tr>
      <w:tr>
        <w:trPr>
          <w:trHeight w:val="207"/>
        </w:trPr>
        <w:tc>
          <w:tcPr>
            <w:tcW w:w="7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19,180,479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19,014,395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18,934,830</w:t>
            </w: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dilutive effect of share-based awards is reflected in diluted net income per share by application of the treasury stock method, which includes consideration of unamortized share-based compensation expense.</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Options to purchase 898,420, 907,089 and 92,627 shares of common stock for fiscal years ended September 30, 2020, 2019, and 2018, respectively, were excluded from the calculation of diluted earnings per share because they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Assets and Liabilities, at Fair Value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 is required to develop a set of assumptions that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designed independent price verification controls and periodically performs such controls to ensure the reasonableness of such values.</w:t>
      </w:r>
    </w:p>
    <w:p>
      <w:pPr>
        <w:spacing w:after="0" w:line="11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Company groups its assets and liabilities measured at fair value in three levels based on the markets in which the assets and liabilities are traded and the reliability of the assumptions used to determine fair value. These levels are:</w:t>
      </w:r>
    </w:p>
    <w:p>
      <w:pPr>
        <w:spacing w:after="0" w:line="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 The Company had $1.5 million and $1.8 million of contingent liabilities classified within Level 3 of the fair value hierarchy as of September 30, 2020 and September 30, 2019 , respectively. The Company had no Level 3 assets as of September 30, 2020 and September 30, 2019.</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makers. Observable inputs reflect the assumptions market participants would use in pricing the asset or liability developed based on market data obtained from sources independent of the reporting entity.</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guidance requires the Company to consider counterparty credit risk of all parties of outstanding derivative instruments that would be considered by a market participant in the transfer or settlement of such contracts (exit price). The Company’s exposure to credit risk on derivative financial instruments relates to the portfolio of OTC derivative contracts as all exchange-traded contracts held can be settled on an active market with a credit guarantee from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and nonfinancial assets and liabilities that are carried on the Consolidated Balance Sheets at fair value on a recurring basis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reported at fair value on a recurring basis includes certificates of deposit and money market mutual funds, which are stated at cost plus accrued interest, which approximates fair value.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securities and other assets segregated under federal and other regulations reported at fair value on a recurring basis include the value of pledged investments, primarily U.S. Treasury obligations and commodities warehouse receipts.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w:t>
      </w:r>
    </w:p>
    <w:p>
      <w:pPr>
        <w:spacing w:after="0" w:line="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section describes the valuation methodologies used by the Company to measure classes of financial instruments at fair value and specifies the level within the fair value hierarchy where various financial instruments are classified.</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uses quoted prices in active markets, where available, and classifies such instruments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The fair value of exchange firm common stock is determined by recent sale transactions and is included within Level 1.</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instruments are traded in secondary markets and observable prices are not available for substantially the full term, the Company generally relies on internal valuation techniques or prices obtained from third-party pricing services or brokers or a combination thereof, and accordingly, classified these instruments as Level 2. Examples include corporate and municipal bonds, U.S. government agency obligations, agency-mortgage backed obligations, asset-backed obligations, certain equity securities traded in less active markets, and OTC derivative contracts, which include purchase and sale commitments related to the Company’s agricultural and energy commodities.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 These derivative instruments are included within Level 2 of the fair value hierarchy.</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Physical commodities inventory includes precious metals that are a part of the trading activities of a regulated broker-dealer subsidiary and is recorded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the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spacing w:after="0" w:line="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the comparison of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a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third-party pricing vendors are included within either Level 1 or Level 2 of the fair value hierarchy based upon the observability of the inputs used and the level of activity in the market.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September 30, 2020 and 2019. Although management is not aware of any factors that would significantly affect the estimated fair value amounts, such amounts have not been comprehensively revalued for purposes of these consolidated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and nonfinancial assets and liabilities accounted for at fair value, on a recurring basis, as of September 30, 2020 and September 30, 2019 by level in the fair value hierarchy. Except as disclosed in Note 8, there were no assets or liabilities that were measured at fair value on a nonrecurring basis as of September 30, 2020 and September 30,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and other assets segregated under federal and other regulations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2"/>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1,941.3</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be announced ("TBA") and forward settling securities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15"/>
        </w:trPr>
        <w:tc>
          <w:tcPr>
            <w:tcW w:w="55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 organizations and</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3,898.3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1,775.8</w:t>
            </w: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counterparties, net</w:t>
            </w: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from clients, net - Derivatives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2"/>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1,384.6</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Commodities leases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798.8</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2,464.5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2,727.7</w:t>
            </w:r>
          </w:p>
        </w:tc>
        <w:tc>
          <w:tcPr>
            <w:tcW w:w="0" w:type="dxa"/>
            <w:vAlign w:val="bottom"/>
          </w:tcPr>
          <w:p>
            <w:pPr>
              <w:spacing w:after="0"/>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8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4,742.5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4,739.3</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 - contingent liabilities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0" w:type="dxa"/>
            <w:vAlign w:val="bottom"/>
          </w:tcPr>
          <w:p>
            <w:pPr>
              <w:spacing w:after="0"/>
              <w:rPr>
                <w:sz w:val="1"/>
                <w:szCs w:val="1"/>
                <w:color w:val="auto"/>
              </w:rPr>
            </w:pPr>
          </w:p>
        </w:tc>
      </w:tr>
      <w:tr>
        <w:trPr>
          <w:trHeight w:val="182"/>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leases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collateral and the impact of netting across the levels of the fair value hierarchy. Netting among positions classified within the same level are included in that level.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Certificates of deposit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Securities and other assets segregated under federal and other regulations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0" w:type="dxa"/>
            <w:vAlign w:val="bottom"/>
          </w:tcPr>
          <w:p>
            <w:pPr>
              <w:spacing w:after="0"/>
              <w:rPr>
                <w:sz w:val="1"/>
                <w:szCs w:val="1"/>
                <w:color w:val="auto"/>
              </w:rPr>
            </w:pPr>
          </w:p>
        </w:tc>
      </w:tr>
      <w:tr>
        <w:trPr>
          <w:trHeight w:val="182"/>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3,131.2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15"/>
        </w:trPr>
        <w:tc>
          <w:tcPr>
            <w:tcW w:w="56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 organizations and</w:t>
            </w: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3,735.0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(3,161.1)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626.9</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counterparties, net</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1,045.0</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Asset-backed obligations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Commodities leases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Mutual funds and other</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w:t>
            </w:r>
          </w:p>
        </w:tc>
        <w:tc>
          <w:tcPr>
            <w:tcW w:w="0" w:type="dxa"/>
            <w:vAlign w:val="bottom"/>
          </w:tcPr>
          <w:p>
            <w:pPr>
              <w:spacing w:after="0"/>
              <w:rPr>
                <w:sz w:val="1"/>
                <w:szCs w:val="1"/>
                <w:color w:val="auto"/>
              </w:rPr>
            </w:pPr>
          </w:p>
        </w:tc>
      </w:tr>
      <w:tr>
        <w:trPr>
          <w:trHeight w:val="18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0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 - contingent liabilities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2"/>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3,079.1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(3,118.6)</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Commodities leases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collateral and the impact of netting across the levels of the fair value hierarchy. Netting among positions classified within the same level are included in that level.</w:t>
      </w:r>
    </w:p>
    <w:p>
      <w:pPr>
        <w:spacing w:after="0" w:line="11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Realized and unrealized gains and losses are included in ‘principal gains, net’, ‘interest income’, and ‘cost of sales of physical commodities’ in the consolidated income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on Level 3 Financial Liabilities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acquisition of Fillmore Advisors, LLC, as further discussed in Note 21, included a contingent consideration arrangement as a component of the purchase price. Pursuant to the contingent consideration agreement, the Company is required to make additional future cash payments based on certain financial performance measures of the acquired business. As of September 30, 2020 and 2019, the Company has classified its liability for the contingent consideration within Level 3 of the fair value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hierarchy because the fair value was determined using significant unobservable inputs, which included projected cash flows. During the year ended September 30, 2020, the Company recorded cash settlements against the liability of $0.9 million, partially offset by remeasurement losses of $0.6 million, which are included in ‘Other’ expenses on the consolidated income statement for the year ended September 30, 2020.</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fair value of an exchange-traded options on futures contract is equal to the unrealized gain or loss on the contract determined by marking the contract to the current settlement price for a like contract on the valuation date of the contract. A settlement price may not be used if the market makes a limit move with respect to a particular options on futures contract or if the contract’s underlying experiences significant price fluctuations after the determination of the settlement price. When a settlement price cannot be used, options on futures contracts will be valued at their fair value as determined in good faith pursuant to procedures adopted by management of the Company.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classified equity investments in exchange firms’ common stock not pledged for clearing purposes as trading securities. The investments are recorded at fair value, with unrealized gains and losses recorded, net of taxes, included in earnings. As of September 30, 2020, the cost and fair value of the equity investments in exchange firms is $3.7 million and $10.1 million, respectively. As of September 30, 2019, the cost and fair value of the equity investments in exchange firms was $3.7 million and $12.7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 about the Fair Value of Financial Instruments that are not carried on the Consolidated Balance Sheets at Fair Value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Many, but not all, of the financial instruments that the Company holds are recorded at fair value in the Consolidated Balance Sheets. The following represents financial instruments in which the ending balance at September 30, 2020 and 2019 was not carried at fair value in accordance with U.S. GAAP on our Consolidated Balance Sheets:</w:t>
      </w:r>
    </w:p>
    <w:p>
      <w:pPr>
        <w:spacing w:after="0" w:line="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Short-term financial instruments: </w:t>
      </w:r>
      <w:r>
        <w:rPr>
          <w:rFonts w:ascii="Times New Roman" w:cs="Times New Roman" w:eastAsia="Times New Roman" w:hAnsi="Times New Roman"/>
          <w:sz w:val="18"/>
          <w:szCs w:val="18"/>
          <w:color w:val="auto"/>
        </w:rPr>
        <w:t>The carrying value of short-term financial instruments, including cash and cash equivalents, cash segregated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us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common stock, U.S. Treasury obligations, U.S. government agency obligations, agency mortgage-backed obligations, and asset-backed obligations.</w:t>
      </w:r>
    </w:p>
    <w:p>
      <w:pPr>
        <w:spacing w:after="0" w:line="7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Receivables and other assets: R</w:t>
      </w:r>
      <w:r>
        <w:rPr>
          <w:rFonts w:ascii="Times New Roman" w:cs="Times New Roman" w:eastAsia="Times New Roman" w:hAnsi="Times New Roman"/>
          <w:sz w:val="18"/>
          <w:szCs w:val="18"/>
          <w:color w:val="auto"/>
        </w:rPr>
        <w:t>eceivables from broker-dealers, clearing organizations, and counterparties, receivables from clients, net, notes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and certain other assets are recorded at amounts that approximate fair value due to their short-term nature and are classified as Level 2 under the fair value hierarchy.</w:t>
      </w:r>
    </w:p>
    <w:p>
      <w:pPr>
        <w:spacing w:after="0" w:line="6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Payables: P</w:t>
      </w:r>
      <w:r>
        <w:rPr>
          <w:rFonts w:ascii="Times New Roman" w:cs="Times New Roman" w:eastAsia="Times New Roman" w:hAnsi="Times New Roman"/>
          <w:sz w:val="18"/>
          <w:szCs w:val="18"/>
          <w:color w:val="auto"/>
        </w:rPr>
        <w:t>ayables to clients and payables to brokers-dealers, clearing organizations, and counterparties are recorded at amounts that approximate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due to their short-term nature and are classified as Level 2 under the fair value hierarchy.</w:t>
      </w:r>
    </w:p>
    <w:p>
      <w:pPr>
        <w:spacing w:after="0" w:line="5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Lender under loans</w:t>
      </w:r>
      <w:r>
        <w:rPr>
          <w:rFonts w:ascii="Times New Roman" w:cs="Times New Roman" w:eastAsia="Times New Roman" w:hAnsi="Times New Roman"/>
          <w:sz w:val="18"/>
          <w:szCs w:val="18"/>
          <w:color w:val="auto"/>
        </w:rPr>
        <w:t>: Payables to lenders under loans carry variable rates of interest and thus approximate fair value and are classified as Level 2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hierarchy.</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Senior secured borrowings, net</w:t>
      </w:r>
      <w:r>
        <w:rPr>
          <w:rFonts w:ascii="Times New Roman" w:cs="Times New Roman" w:eastAsia="Times New Roman" w:hAnsi="Times New Roman"/>
          <w:sz w:val="18"/>
          <w:szCs w:val="18"/>
          <w:color w:val="auto"/>
        </w:rPr>
        <w:t>: Senior secured borrowings, net includes a senior secured term loan with a carrying value of $179.5 million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which carries a variable rate of interest and thus approximates fair value and is classified as Level 2 under the fair value hierarchy. Senior secured borrowings, net also includes the Company's 8.625% Senior Secured Notes due 2025 (the “Senior Secured Notes”) and Gain’s 5.00% Senior Notes due 2022 (the “Gain Notes”) as further described in Note 12 with a carrying value of $336.0 million as of September 30, 2020. The carrying value of the Senior Secured Notes and Gain Notes represent their principal amounts net of unamortized deferred financing costs and original issue discount. As of September 30, 2020, the Senior Secured Notes and Gain Notes had a fair value of $379.4 million and are classified as Level 2 under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Financial Instruments with Off-Balance Sheet Risk and Concentrations of Credit Risk</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consolidated financial statements as of September 30, 2020 at the fair values of the related financial instruments. The Company will incur losses if the fair value of the underlying financial instruments increases subsequent to September 30, 2020. The total of $686.0 million as of September 30, 2020 includes $176.8 million for derivative contracts, which represent a liability to the Company based on their fair values as of September 30,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consolidating balance sheets in ‘deposits with and receivables from broker-dealers, clearing organizations, and counterparties’, ‘receivables from clients, net’, ‘financial instruments owned and sold, not yet purchased, at fair value’, ‘payables to clients’ and ‘payables to broker-dealers, clearing organizations and counterparties’.</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Listed below are the fair values of the Company’s derivative assets and liabilities as of September 30, 2020 and September 30, 2019. Assets represent net unrealized gains and liabilities represent net unrealized losses.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3"/>
            <w:shd w:val="clear" w:color="auto" w:fill="CCEEFF"/>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9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940" w:type="dxa"/>
            <w:vAlign w:val="bottom"/>
          </w:tcPr>
          <w:p>
            <w:pPr>
              <w:jc w:val="right"/>
              <w:ind w:right="24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14"/>
                <w:szCs w:val="14"/>
                <w:b w:val="1"/>
                <w:bCs w:val="1"/>
                <w:color w:val="auto"/>
                <w:w w:val="95"/>
              </w:rPr>
              <w:t xml:space="preserve">Liabilities </w:t>
            </w:r>
            <w:r>
              <w:rPr>
                <w:rFonts w:ascii="Times New Roman" w:cs="Times New Roman" w:eastAsia="Times New Roman" w:hAnsi="Times New Roman"/>
                <w:sz w:val="18"/>
                <w:szCs w:val="18"/>
                <w:b w:val="1"/>
                <w:bCs w:val="1"/>
                <w:color w:val="auto"/>
                <w:w w:val="95"/>
                <w:vertAlign w:val="superscript"/>
              </w:rPr>
              <w:t>(1)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5"/>
                <w:szCs w:val="15"/>
                <w:color w:val="auto"/>
              </w:rPr>
            </w:pPr>
          </w:p>
        </w:tc>
        <w:tc>
          <w:tcPr>
            <w:tcW w:w="100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contracts not accounted for as hedges: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commodity derivatives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commodity derivatives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foreign exchange derivatives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foreign exchange derivatives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interest rate derivatives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interest rate derivatives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equity index derivatives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equity and indices derivatives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TBA and forward settling securities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fair value of derivative contracts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3264400000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Impact of netting and collateral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(3,319.0)</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(3,540.8)</w:t>
            </w:r>
          </w:p>
        </w:tc>
        <w:tc>
          <w:tcPr>
            <w:tcW w:w="0" w:type="dxa"/>
            <w:vAlign w:val="bottom"/>
          </w:tcPr>
          <w:p>
            <w:pPr>
              <w:spacing w:after="0"/>
              <w:rPr>
                <w:sz w:val="1"/>
                <w:szCs w:val="1"/>
                <w:color w:val="auto"/>
              </w:rPr>
            </w:pPr>
          </w:p>
        </w:tc>
      </w:tr>
      <w:tr>
        <w:trPr>
          <w:trHeight w:val="145"/>
        </w:trPr>
        <w:tc>
          <w:tcPr>
            <w:tcW w:w="544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Total fair value included in 'Deposits with and receivables from broker-</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dealers, clearing organizations, and counterparties,net'</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fair value included in 'Receivables from clients, net'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4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440" w:type="dxa"/>
            <w:vAlign w:val="bottom"/>
            <w:tcBorders>
              <w:top w:val="single" w:sz="8" w:color="CCEEFF"/>
              <w:bottom w:val="single" w:sz="8" w:color="CCEEFF"/>
            </w:tcBorders>
            <w:shd w:val="clear" w:color="auto" w:fill="CCEEFF"/>
          </w:tcPr>
          <w:p>
            <w:pPr>
              <w:ind w:left="360"/>
              <w:spacing w:after="0" w:line="171" w:lineRule="exact"/>
              <w:rPr>
                <w:sz w:val="20"/>
                <w:szCs w:val="20"/>
                <w:color w:val="auto"/>
              </w:rPr>
            </w:pPr>
            <w:r>
              <w:rPr>
                <w:rFonts w:ascii="Times New Roman" w:cs="Times New Roman" w:eastAsia="Times New Roman" w:hAnsi="Times New Roman"/>
                <w:sz w:val="16"/>
                <w:szCs w:val="16"/>
                <w:color w:val="auto"/>
              </w:rPr>
              <w:t>Total fair value included in 'Financial instruments owned, at fair value</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auto"/>
            </w:tcBorders>
            <w:shd w:val="clear" w:color="auto" w:fill="CCEEFF"/>
          </w:tcPr>
          <w:p>
            <w:pPr>
              <w:spacing w:after="0"/>
              <w:rPr>
                <w:sz w:val="21"/>
                <w:szCs w:val="21"/>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40" w:type="dxa"/>
            <w:vAlign w:val="bottom"/>
            <w:tcBorders>
              <w:top w:val="single" w:sz="8" w:color="CCEEFF"/>
              <w:bottom w:val="single" w:sz="8" w:color="CCEEFF"/>
            </w:tcBorders>
          </w:tcPr>
          <w:p>
            <w:pPr>
              <w:ind w:left="360"/>
              <w:spacing w:after="0" w:line="171" w:lineRule="exact"/>
              <w:rPr>
                <w:sz w:val="20"/>
                <w:szCs w:val="20"/>
                <w:color w:val="auto"/>
              </w:rPr>
            </w:pPr>
            <w:r>
              <w:rPr>
                <w:rFonts w:ascii="Times New Roman" w:cs="Times New Roman" w:eastAsia="Times New Roman" w:hAnsi="Times New Roman"/>
                <w:sz w:val="16"/>
                <w:szCs w:val="16"/>
                <w:color w:val="auto"/>
              </w:rPr>
              <w:t>Total fair value included in 'Payables to clients'</w:t>
            </w:r>
          </w:p>
        </w:tc>
        <w:tc>
          <w:tcPr>
            <w:tcW w:w="22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(222.7)</w:t>
            </w:r>
          </w:p>
        </w:tc>
        <w:tc>
          <w:tcPr>
            <w:tcW w:w="1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544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Total fair value included in 'Payables to broker-dealers, clearing organizations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49"/>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 counterparties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5440" w:type="dxa"/>
            <w:vAlign w:val="bottom"/>
            <w:tcBorders>
              <w:top w:val="single" w:sz="8" w:color="CCEEFF"/>
            </w:tcBorders>
          </w:tcPr>
          <w:p>
            <w:pPr>
              <w:ind w:left="360"/>
              <w:spacing w:after="0" w:line="109" w:lineRule="exact"/>
              <w:rPr>
                <w:sz w:val="20"/>
                <w:szCs w:val="20"/>
                <w:color w:val="auto"/>
              </w:rPr>
            </w:pPr>
            <w:r>
              <w:rPr>
                <w:rFonts w:ascii="Times New Roman" w:cs="Times New Roman" w:eastAsia="Times New Roman" w:hAnsi="Times New Roman"/>
                <w:sz w:val="12"/>
                <w:szCs w:val="12"/>
                <w:color w:val="auto"/>
              </w:rPr>
              <w:t>Total fair value included in 'Financial instruments sold, not yet purchased, at</w:t>
            </w:r>
          </w:p>
        </w:tc>
        <w:tc>
          <w:tcPr>
            <w:tcW w:w="220" w:type="dxa"/>
            <w:vAlign w:val="bottom"/>
            <w:tcBorders>
              <w:top w:val="single" w:sz="8" w:color="CCEEFF"/>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820" w:type="dxa"/>
            <w:vAlign w:val="bottom"/>
            <w:tcBorders>
              <w:top w:val="single" w:sz="8" w:color="CCEEFF"/>
            </w:tcBorders>
            <w:vMerge w:val="restart"/>
          </w:tcPr>
          <w:p>
            <w:pPr>
              <w:spacing w:after="0"/>
              <w:rPr>
                <w:sz w:val="9"/>
                <w:szCs w:val="9"/>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194"/>
        </w:trPr>
        <w:tc>
          <w:tcPr>
            <w:tcW w:w="5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0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2020 and September 30, 2019, the Company’s derivative contract volume for open positions was approximately 7.9 million and 10.6 million contracts, respectively.</w:t>
      </w:r>
    </w:p>
    <w:p>
      <w:pPr>
        <w:spacing w:after="0" w:line="5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Company’s derivative contracts are principally held in its Commercial and Retail segments. The Company assists its Commercial segment clients in protecting the value of their future production by entering into option or forward agreements with them on an OTC basis. The Company also provides its Commercial segment clients with option products, including combinations of buying and selling puts and calls. In its Retail segment, the Company provides its retail clients with access to spot foreign exchange, precious metals trading, as well as contracts for a difference (“CFDs”)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unrealized gains in inventory or cash collateral paid or received.</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transacts in derivative instruments, which consist of futures, mortgage-backed TBA securities and forward settling transactions, that are used to manage risk exposures in the Company’s fixed income portfolio. The fair value of these transactions is recorded in deposits with and receivables from and payables to broker-dealers, clearing organizations, and counterparties. Realized and unrealized gains and losses on securities and derivative transactions are reflected in ‘principal gains, net’. The Company enters into TBA securities transactions for the sole purpose of managing risk associated with the purchase of mortgage pass-through securities.</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2020 and September 30, 2019, TBA and forward settling securities recorded within deposits with and receivables from and payables to broker-dealers, clearing organizations, and counterparties are summarized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6"/>
                <w:szCs w:val="16"/>
                <w:color w:val="auto"/>
              </w:rPr>
            </w:pPr>
          </w:p>
        </w:tc>
        <w:tc>
          <w:tcPr>
            <w:tcW w:w="17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3"/>
                <w:szCs w:val="13"/>
                <w:color w:val="auto"/>
              </w:rPr>
            </w:pPr>
          </w:p>
        </w:tc>
        <w:tc>
          <w:tcPr>
            <w:tcW w:w="98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Gain/(Loss)</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00" w:type="dxa"/>
            <w:vAlign w:val="bottom"/>
          </w:tcPr>
          <w:p>
            <w:pPr>
              <w:spacing w:after="0"/>
              <w:rPr>
                <w:sz w:val="13"/>
                <w:szCs w:val="13"/>
                <w:color w:val="auto"/>
              </w:rPr>
            </w:pPr>
          </w:p>
        </w:tc>
        <w:tc>
          <w:tcPr>
            <w:tcW w:w="98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Gain/(Loss)</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9"/>
              <w:spacing w:after="0" w:line="16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0" w:type="dxa"/>
            <w:vAlign w:val="bottom"/>
          </w:tcPr>
          <w:p>
            <w:pPr>
              <w:spacing w:after="0"/>
              <w:rPr>
                <w:sz w:val="1"/>
                <w:szCs w:val="1"/>
                <w:color w:val="auto"/>
              </w:rPr>
            </w:pPr>
          </w:p>
        </w:tc>
      </w:tr>
      <w:tr>
        <w:trPr>
          <w:trHeight w:val="214"/>
        </w:trPr>
        <w:tc>
          <w:tcPr>
            <w:tcW w:w="69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Unrealized gain on TBA securities purchased within deposits with and receivables from broker-</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dealers, clearing organizations and counterparties, net and related notional amounts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on TBA securities purchased within deposits with and receivables from broker-dealers,</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2,647.7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clearing organizations and counterparties, net and related notional amounts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gain on TBA securities sold within payables to broker-dealers, clearing organizations and</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counterparties and related notional amounts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on TBA securities sold within payables to broker-dealers, clearing organizations and</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(6,549.4)</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(2,788.0)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counterparties and related notional amounts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forward settling securities purchased within payables to broker-dealers, clearing</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organizations and counterparties and related notional amounts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on forward settling securities sold within deposits with and receivables from broker-</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(1,946.0)</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dealers, clearing organizations and counterparties, net and related notional amounts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forward settling securities purchased within deposits with and receivables from</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broker-dealers, clearing organizations and counterparties, net and related notional amounts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right="2480"/>
        <w:spacing w:after="0" w:line="245" w:lineRule="auto"/>
        <w:rPr>
          <w:sz w:val="20"/>
          <w:szCs w:val="20"/>
          <w:color w:val="auto"/>
        </w:rPr>
      </w:pPr>
      <w:r>
        <w:rPr>
          <w:rFonts w:ascii="Times New Roman" w:cs="Times New Roman" w:eastAsia="Times New Roman" w:hAnsi="Times New Roman"/>
          <w:sz w:val="16"/>
          <w:szCs w:val="16"/>
          <w:color w:val="auto"/>
        </w:rPr>
        <w:t>The notional amounts of these instruments reflect the extent of the Company’s involvement in TBA and forward settling securities and do not represent counterparty exposure.</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net gains (losses) related to derivative financial instruments for the fiscal years ended September 30, 2020, 2019, and 2018, in accordance with the Derivatives and Hedging Topic of the ASC. The net gains (losses) set forth below are included in ‘principal gains, net’ and ‘cost of sales of physical commodities’ in the consolidated income statements.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8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equities, and indices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TBA and forward settling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34"/>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gains from derivative contracts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and sells financial instruments, commodities and foreign currencies as either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or foreign currency is different from the contract value of the transaction.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majority of the Company’s transactions and, consequently, the concentration of its credit exposure are with commodity exchanges, clients,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ability of counterparties to satisfy their contractual obligations. The Company seeks to control its credit risk through a variety of reporting and control procedures, including establishing credit limits based upon a review of the counterparties’ financial condition and credit ratings. The Company monitors collateral levels on a daily basis for compliance with regulatory and internal guidelines and requests changes in collateral levels as appropriate.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a party to financial instruments in the normal course of its business through client and proprietary trading accounts in exchange-traded and OTC derivative instruments. These instruments are primarily the execution of orders for commodity futures, options on futures and forward foreign currency contracts on behalf of its clients, substantially all of which are transacted on a margin basis. Such transactions may expose the Company to significant credit risk in the event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credit limits for clients, which are monitored daily. The Company evaluates each client’s creditworthiness on a case by case basis. Clearing, financing, and settlement activities may require the Company to maintain funds with or pledge securities as collateral with other financial institutions. Generally, these exposures to both clients and counterparties are subject to master netting, or client agreements, which reduce the exposure to the Company by permitting receivables and payables with such clients to be offset in the event of a client default. Management believes that the margin deposits held as of September 30, 2020 and September 30, 2019 were adequate to minimize the risk of material loss that could be created by positions held at that time. Additionally, the Company monitors collateral fair value on a daily basis and adjusts collateral levels in the event of excess market exposure.</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Allowance for Doubtful Accounts</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Deposits with and receivables from broker-dealers, clearing organizations, and counterparties, net, receivables from clients, net, and notes receivable, net include an allowance for doubtful accounts, which reflects the Company’s best estimate of probable losses inherent in the accounts. The Company provides for an allowance for doubtful accounts based on a specific-identification basis. The Company continually reviews its allowance for doubtful accounts.</w:t>
      </w:r>
    </w:p>
    <w:p>
      <w:pPr>
        <w:spacing w:after="0" w:line="10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related to deposits with and receivables from broker-dealers, clearing organizations, and counterparties was $1.3 million and $36.9 million as of September 30, 2020 and September 30, 2019, respectively. During the year ended September 30, 2020, the Company charged off $35.6 million of receivables against the allowance for doubtful accounts related to the physical coal business, which the Company exited in fiscal 2018.</w:t>
      </w:r>
    </w:p>
    <w:p>
      <w:pPr>
        <w:spacing w:after="0" w:line="12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allowance for doubtful accounts related to receivables from clients was $25.8 million and $11.7 million as of September 30, 2020 and September 30, 2019, respectively. The Company had no allowance for doubtful accounts related to notes receivable as of September 30, 2020 and September 30, 2019.</w:t>
      </w:r>
    </w:p>
    <w:p>
      <w:pPr>
        <w:spacing w:after="0" w:line="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2020, the Company recorded bad debt expense of $13.0 million. The bad debt expense during fiscal 2020 primarily related to $3.5 million of client OTC derivative account deficits in the Commercial segment, $5.4 million of client exchange-traded futures and options on futures account deficits in the Institutional segment, and $0.6 million of OTC derivative client account deficits in the Retail segment. The Company also incurred bad debt expense of $3.2 million within the Commercial segment related to receivables in the Company’s physical energy commodity business.</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the Company recorded bad debt expense, net of recoveries, of $2.5 million, including a net increase in provision for bad debts of $2.6 million, direct write-offs of $0.3 million, and direct recoveries of $0.4 million. The increase in provision for bad debts during fiscal 2019 primarily related to $2.7 million of client OTC derivative account deficits in the Commercial segment, and $1.4 million in the Institutional segment, partially offset by client recoveries in the Commercial segment. Additionally, during the year ended September 30, 2019, the Company recorded recoveries on the bad debt on physical coal of $12.4 million, reducing the allowance for doubtful accounts related to deposits with and receivables from broker-dealers, clearing organizations, and counterparties. See additional information in Note 19.</w:t>
      </w:r>
    </w:p>
    <w:p>
      <w:pPr>
        <w:spacing w:after="0" w:line="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2018, the Company recorded bad debt expense, net of recoveries, of $3.1 million, including a net increase in provision for bad debts of $2.9 million, direct write-offs of $0.3 million, and recoveries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$0.1 million. The increase in provision for bad debts during fiscal 2018 primarily related to $2.8 million of agricultural OTC derivative client accounts deficits in the Commercial segment and $0.4 million of client exchange-traded futures and options on futures account deficits in the Institutional segment, partially offset by a provision decrease in the physical agricultural and energy business of the Commercial segment. Additionally, during the year ended September 30, 2018, the Company recorded charges to earnings of $1.0 million, to record an additional allowance for doubtful accounts related to a bad debt incurred in the physical coal business. See additional information in Note 19.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fiscal years ended September 30, 2020, 2019, and 2018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(recovery) for bad debts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Allowance charge-offs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736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bl>
    <w:p>
      <w:pPr>
        <w:ind w:left="180" w:hanging="154"/>
        <w:spacing w:after="0" w:line="230" w:lineRule="auto"/>
        <w:tabs>
          <w:tab w:leader="none" w:pos="1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Allowance increase is related to a recoverable amount due from an affiliated party and recorded in ‘other assets’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-123825</wp:posOffset>
            </wp:positionV>
            <wp:extent cx="2425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Physical Commodities 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consist of finished physical commodities as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Physical Ag &amp; Energy</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Precious metals - held by broker-dealer subsidiary</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Precious metals - held by non-broker-dealer subsidiaries</w:t>
            </w:r>
            <w:r>
              <w:rPr>
                <w:rFonts w:ascii="Times New Roman" w:cs="Times New Roman" w:eastAsia="Times New Roman" w:hAnsi="Times New Roman"/>
                <w:sz w:val="21"/>
                <w:szCs w:val="21"/>
                <w:color w:val="auto"/>
                <w:vertAlign w:val="superscript"/>
              </w:rPr>
              <w:t>(3)</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07"/>
        </w:trPr>
        <w:tc>
          <w:tcPr>
            <w:tcW w:w="8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Physical commodities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8"/>
        <w:spacing w:after="0" w:line="259" w:lineRule="auto"/>
        <w:tabs>
          <w:tab w:leader="none" w:pos="181"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Physical Ag &amp; Energy consists of agricultural commodity inventories, including corn, soybeans, wheat, dried distillers grain, canola, sorghum, coffee, cocoa, cotton, and others. The agricultural commodity inventories are carried at net realizable value, which approximates selling prices in the ordinary course of business, less disposal costs, with changes in net realizable value included as a component of ‘cost of sales of physical commodities’ on the consolidated income statements. The agricultural inventories have reliable, readily determinable and realizable market prices, have relatively insignificant costs of disposal and are available for immediate delivery. Physical Ag &amp; Energy also consists of energy related inventories, including primarily propane, gasoline, and kerosene, which are valued at the lower of cost or net realizable value.</w:t>
      </w:r>
    </w:p>
    <w:p>
      <w:pPr>
        <w:spacing w:after="0" w:line="76" w:lineRule="exact"/>
        <w:rPr>
          <w:rFonts w:ascii="Times New Roman" w:cs="Times New Roman" w:eastAsia="Times New Roman" w:hAnsi="Times New Roman"/>
          <w:sz w:val="22"/>
          <w:szCs w:val="22"/>
          <w:color w:val="auto"/>
          <w:vertAlign w:val="superscript"/>
        </w:rPr>
      </w:pPr>
    </w:p>
    <w:p>
      <w:pPr>
        <w:ind w:right="60" w:firstLine="8"/>
        <w:spacing w:after="0" w:line="251" w:lineRule="auto"/>
        <w:tabs>
          <w:tab w:leader="none" w:pos="181"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Precious metals held by the Company’s subsidiary, StoneX Financial Ltd, a U.K. based broker-dealer subsidiary, is measured at fair value, with changes in fair value included as a component of ‘principal gains, net’ on the consolidated income statements, in accordance with U.S. GAAP accounting requirements for broker-dealers.</w:t>
      </w:r>
    </w:p>
    <w:p>
      <w:pPr>
        <w:spacing w:after="0" w:line="63"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Precious metals inventory held by subsidiaries that are not broker-dealers are valued at the lower of cost or net realizable value.</w:t>
      </w:r>
    </w:p>
    <w:p>
      <w:pPr>
        <w:spacing w:after="0" w:line="9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 has recorded lower of cost or net realizable value adjustments for certain precious metals inventory of $0.7 million and $0.5 million as of September 30, 2020 and 2019, respectively. The adjustments are included in ‘cost of sales of physical commodities’ in the consolidated income statements.</w:t>
      </w:r>
    </w:p>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recorded lower of cost or net realizable value adjustments for certain physical inventory of crude oil and low sulfur fuel oil primarily based on quality degradation and consideration of costs to sell of $7.6 million. The adjustments are included in ‘cost of sales of physical commodities’ in the consolidated income statements. The Company is attempting to recover this write down from its supplier, however there is substantial uncertainty as to whether the Company will be successful. The Company continues to pursue all legal avenues available to it regarding this matter.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and Equipment, net</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and reported net of accumulated depreciation on the consolidated balance sheets. Depreciation on property and equipment is calculated using the straight-line method over the estimated useful lives of the assets. The estimated useful lives of property and equipment range from 3 to 10 years. During the fiscal years ended September 30, 2020, 2019, and 2018, depreciation expense was $13.3 million, $11.2 million, and $9.4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at cost less accumulated depreciation as of September 30, 2020 and 2019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8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Software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3"/>
        </w:trPr>
        <w:tc>
          <w:tcPr>
            <w:tcW w:w="8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integration of Gain, the Company re-evaluated all trading systems utilized across the organization in order to identify duplicative systems. In connection with this process, the Company determined that certain legacy capitalized developed software costs within the Company’s OTC foreign exchange business would no longer be placed into service and utilized as expected prior to the merger with Gain. As a result, the Company recorded impairment charges of $5.7 million, which are reflected in ‘Bad debts, net of recoveries and impairment’ on the consolidated income statement for the year ended September 30,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the Company’s operating segments as of September 30, 2020 and 2019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Institutional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Global Payments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Goodwill</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recorded $0.1 million and zero in foreign exchange revaluation adjustments on goodwill for the years ended September 30, 2020 and 2019, respectively.</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recorded additional goodwill of $2.3 million during the year ended September 30, 2020 within the Global Payments operating segment related to the initial purchase price allocation for the acquisition of GIROXX GmbH (“GIROXX”) as further discussed in Note 21.</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recorded additional goodwill of $1.1 million during the year ended September 30, 2020 within the Institutional reportable segment related to the final purchase price allocation for the acquisition of the futures and options brokerage and clearing business of UOB Bullion and Futures Limited as further discussed in Note 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Intangible Assets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recorded $3.1 million, $1.0 million, $1.7 million, and $9.8 million of customer base intangible assets during the year ended September 30, 2020 related to the acquisitions of UOB Bullion and Futures Limited, IFCM Commodities GmbH, Quest Capital, and Gain, respectively, as further discussed in Note 21.</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recorded $22.2 million and $1.5 million of software program/platform intangible assets during the year ended September 30, 2020 related to the acquisitions of Gain and GIROXX, respectively, as further discussed in Note 21.</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recorded $3.7 million of trade/domain name intangible assets during the year ended September 30, 2020 related to the acquisition of Gain as further discussed in Note 21.</w:t>
      </w:r>
    </w:p>
    <w:p>
      <w:pPr>
        <w:spacing w:after="0" w:line="5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recorded $0.4 million of indefinite lived business license intangible assets during the year ended September 30, 2020 related to the acquisition of GIROXX as further discussed in Note 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and net carrying values of intangible assets as of the balance sheet dates, by major intangible asset class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10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Trade/domain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programs/platforms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Customer base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not subject to amortization: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Website domains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licenses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intangible assets not subject to amortization:</w:t>
            </w: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4"/>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$5.8 million, $2.8 million, and $2.3 million for the years ended September 30, 2020, 2019, and 2018,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estimated future amortization expense was as follows:</w:t>
      </w:r>
    </w:p>
    <w:p>
      <w:pPr>
        <w:sectPr>
          <w:pgSz w:w="11900" w:h="16838" w:orient="portrait"/>
          <w:cols w:equalWidth="0" w:num="1">
            <w:col w:w="11200"/>
          </w:cols>
          <w:pgMar w:left="320" w:top="121" w:right="379" w:bottom="1440" w:gutter="0" w:footer="0" w:header="0"/>
        </w:sectPr>
      </w:pP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2022</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2024</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006" w:hanging="1006"/>
        <w:spacing w:after="0"/>
        <w:tabs>
          <w:tab w:leader="none" w:pos="100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15.1</w:t>
      </w:r>
    </w:p>
    <w:p>
      <w:pPr>
        <w:spacing w:after="0" w:line="32" w:lineRule="exact"/>
        <w:rPr>
          <w:rFonts w:ascii="Times New Roman" w:cs="Times New Roman" w:eastAsia="Times New Roman" w:hAnsi="Times New Roman"/>
          <w:sz w:val="16"/>
          <w:szCs w:val="16"/>
          <w:color w:val="auto"/>
        </w:rPr>
      </w:pPr>
    </w:p>
    <w:p>
      <w:pPr>
        <w:ind w:left="100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13.8</w:t>
      </w:r>
    </w:p>
    <w:p>
      <w:pPr>
        <w:spacing w:after="0" w:line="32" w:lineRule="exact"/>
        <w:rPr>
          <w:rFonts w:ascii="Times New Roman" w:cs="Times New Roman" w:eastAsia="Times New Roman" w:hAnsi="Times New Roman"/>
          <w:sz w:val="16"/>
          <w:szCs w:val="16"/>
          <w:color w:val="auto"/>
        </w:rPr>
      </w:pPr>
    </w:p>
    <w:p>
      <w:pPr>
        <w:ind w:left="100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12.2</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743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6" w:lineRule="exact"/>
        <w:rPr>
          <w:sz w:val="20"/>
          <w:szCs w:val="20"/>
          <w:color w:val="auto"/>
        </w:rPr>
      </w:pPr>
    </w:p>
    <w:p>
      <w:pPr>
        <w:ind w:left="1006" w:hanging="1006"/>
        <w:spacing w:after="0"/>
        <w:tabs>
          <w:tab w:leader="none" w:pos="100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743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8743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46"/>
          </w:cols>
          <w:pgMar w:left="320" w:top="121" w:right="37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Credit Facilities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four committed credit facilities, including a senior secured term loan, under which the Company and its subsidiaries may borrow up to $736.6 million, subject to the terms and conditions for these facilities. The amounts outstanding under these credit facilities carry variable rates of interest, thus approximating fair value. The Company’s committed credit facilities consist of the following:</w:t>
      </w:r>
    </w:p>
    <w:p>
      <w:pPr>
        <w:spacing w:after="0" w:line="68" w:lineRule="exact"/>
        <w:rPr>
          <w:sz w:val="20"/>
          <w:szCs w:val="20"/>
          <w:color w:val="auto"/>
        </w:rPr>
      </w:pPr>
    </w:p>
    <w:p>
      <w:pPr>
        <w:ind w:left="660" w:right="8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three-year first-lien senior secured syndicated loan facility under which $376.6 million is available to the Company for general working capital requirements and capital expenditures. During the year ended September 30, 2020, additional members were added to the syndication further increasing the committed amount to $393.0 million. The amended facility is comprised of a $196.5 million revolving credit facility and a $196.5 million Term Loan facility.</w:t>
      </w:r>
    </w:p>
    <w:p>
      <w:pPr>
        <w:spacing w:after="0" w:line="71" w:lineRule="exact"/>
        <w:rPr>
          <w:rFonts w:ascii="Times New Roman" w:cs="Times New Roman" w:eastAsia="Times New Roman" w:hAnsi="Times New Roman"/>
          <w:sz w:val="18"/>
          <w:szCs w:val="18"/>
          <w:color w:val="auto"/>
        </w:rPr>
      </w:pPr>
    </w:p>
    <w:p>
      <w:pPr>
        <w:ind w:left="6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make quarterly principal payments against the Term Loan equal to 1.25% of the original balance with the remaining balance due on the maturity date. During the year ended September 30, 2020, the Company made scheduled quarterly principal payments against the Term Loan equal to $9.8 million, reducing the amount outstanding to $180.1 million as of September 30, 2020. Amounts repaid on the Term Loan may not be reborrowed.</w:t>
      </w:r>
    </w:p>
    <w:p>
      <w:pPr>
        <w:spacing w:after="0" w:line="71" w:lineRule="exact"/>
        <w:rPr>
          <w:rFonts w:ascii="Times New Roman" w:cs="Times New Roman" w:eastAsia="Times New Roman" w:hAnsi="Times New Roman"/>
          <w:sz w:val="18"/>
          <w:szCs w:val="18"/>
          <w:color w:val="auto"/>
        </w:rPr>
      </w:pPr>
    </w:p>
    <w:p>
      <w:pPr>
        <w:ind w:left="6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is secured by a first priority lien on substantially all of the assets of the Company and those of our subsidiaries that guarantee the credit facility. Per the terms of the amended facility, the commitment fees and interest rates are subject to decrease if the Company’s consolidated leverage ratio, as defined, decreases below certain thresholds. As of September 30, 2020, unused portions of the loan facility require a commitment fee of 0.625% on the unused commitment. Both the revolving credit facility and the Term Loan are subject to variable rates of interest. As of September 30, 2020, borrowings under the facility bear interest at the Eurodollar Rate, as defined, plus 3.00% or the Base Rate, as defined, plus 2.00%. Borrowings under the Base Rate and Eurodollars options were subject to interest rates of 5.25% and 3.10%, respectively, as of September 30, 2020. The agreement contains financial covenants related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to consolidated tangible net worth, consolidated funded debt to net worth ratio, consolidated fixed charge coverage ratio and consolidated net unencumbered liquid assets, as defined. The agreement also contains a non-financial covenant related to the allowable annual consolidated capital expenditures permitted under the agreement. The Company was in compliance with all covenants under the loan facility as of September 30, 2020.</w:t>
      </w:r>
    </w:p>
    <w:p>
      <w:pPr>
        <w:spacing w:after="0" w:line="50" w:lineRule="exact"/>
        <w:rPr>
          <w:sz w:val="20"/>
          <w:szCs w:val="20"/>
          <w:color w:val="auto"/>
        </w:rPr>
      </w:pPr>
    </w:p>
    <w:p>
      <w:pPr>
        <w:ind w:left="660" w:right="2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committed line of credit under which $75.0 million is available to the Company’s wholly owned subsidiary, StoneX Financial Inc to provide short term funding of margin to commodity exchanges as necessary. This line of credit is subject to annual review, and the continued availability of this line of credit is subject to StoneX Financial Inc’s financial condition and operating results continuing to be satisfactory as set forth in the agreement. Unused portions of the margin line require a commitment fee of 0.50% on the unused commitment. Borrowings under the margin line are on a demand basis and bear interest at the Base Rate, as defined, plus 2.00%, which was 5.25% as of September 30, 2020. The agreement contains financial covenants related to StoneX Financial Inc’s tangible net worth, excess net capital and maximum net loss over a trailing twelve month period, as defined. StoneX Financial Inc was in compliance with these covenants as of September 30, 2020. The facility is guaranteed by the Company.</w:t>
      </w:r>
    </w:p>
    <w:p>
      <w:pPr>
        <w:spacing w:after="0" w:line="8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syndicated committed borrowing facility under which $260.0 million is available to the Company’s wholly owned subsidiary, FCStone Merchant Services, LLC (“FCStone Merchants”) to finance commodity financing arrangements and commodity repurchase agreements. The facility is secured by the assets of FCStone Merchants, and guaranteed by the Company. Unused portions of the borrowing facility require a commitment fee of 0.35% on the unused commitment. The borrowings outstanding under the facility bear interest at a rate per annum equal to the Eurodollar Rate plus Applicable Margin, as defined, or the Base Rate plus Applicable Margin, as defined. Borrowings under the Base Rate and Eurodollar options were subject to interest rates of 3.25% and 2.4%, respectively, as of September 30, 2020. The agreement contains financial covenants related to tangible net worth, as defined. FCStone Merchants was in compliance with this covenant as of September 30, 2020.</w:t>
      </w:r>
    </w:p>
    <w:p>
      <w:pPr>
        <w:spacing w:after="0" w:line="80"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committed borrowing facility under which $25.0 million is available to the Company’s wholly owned subsidiary, StoneX Financial Ltd for short term funding of margin to commodity exchanges. The borrowings outstanding under the facility bear interest at a rate per annum equal to 2.50% plus LIBOR, as defined. The agreement contains financial covenants related to net tangible assets, as defined. StoneX Financial Ltd was in compliance with this covenant as of September 30, 2020. The facility is guaranteed by the Company. This facility matured on October 14, 2020 and was replaced by an unsecured syndicated committed borrowing facility with substantially similar terms.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2020, the Company executed a secured, uncommitted loan facility, under which StoneX Financial Ltd may borrow up to $20.0 million, collateralized by commodities warehouse receipts, to facilitate the financing of inventory of commodities, subject to certain terms and conditions of the credit agreement. There were $20.0 million in borrowings outstanding under this credit facility as of September 30, 2020.</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 secured, uncommitted loan facility, under which StoneX Financial Inc may borrow up to $75.0 million, collateralized by commodities warehouse receipts, to facilitate U.S. commodity exchange deliveries of its clients, subject to certain terms and conditions of the credit agreement. There were no borrowings outstanding under this credit facility at September 30, 2020 and 2019.</w:t>
      </w:r>
    </w:p>
    <w:p>
      <w:pPr>
        <w:spacing w:after="0" w:line="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has a secured, uncommitted loan facility, under which StoneX Financial Inc. may borrow for short term funding of proprietary and client securities margin requirements, subject to certain terms and conditions of the agreement. The uncommitted amount available to be borrowed is not specified, and all requests for borrowing are subject to the sole discretion of the lender. The borrowings are secured by first liens on Company owned marketable securities or client owned securities which have been pledged to the Company. The amounts borrowed under the facilities are payable on demand. There were no borrowings outstanding under this credit facility as of September 30, 2020, and September 30, 2019.</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secured uncommitted loan facilities under which StoneX Financial Inc may borrow up to $100.0 million for short term funding of proprietary and client securities margin requirements, subject to certain terms and conditions of the agreement. The borrowings are secured by first liens on Company owned marketable securities or client owned securities which have been pledged to the Company. The amounts borrowed under the facilities are payable on demand. There were no borrowings outstanding under this credit facility as of September 30, 2020 and September 30, 2019.</w:t>
      </w:r>
    </w:p>
    <w:p>
      <w:pPr>
        <w:spacing w:after="0" w:line="7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Company had a secured, uncommitted loan facility under which FCStone Merchant Services, LLC could borrow up to $20.0 million to facilitate the financing of inventory of commodities and other products or goods approved by the lender in its sole discretion, subject to certain terms and conditions of the loan facility agreement. There were $3.4 million in borrowings outstanding under this credit facility as of September 30, 2019. The credit facility was terminated during the three months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320"/>
        <w:spacing w:after="0" w:line="375" w:lineRule="auto"/>
        <w:rPr>
          <w:sz w:val="20"/>
          <w:szCs w:val="20"/>
          <w:color w:val="auto"/>
        </w:rPr>
      </w:pPr>
      <w:r>
        <w:rPr>
          <w:rFonts w:ascii="Times New Roman" w:cs="Times New Roman" w:eastAsia="Times New Roman" w:hAnsi="Times New Roman"/>
          <w:sz w:val="18"/>
          <w:szCs w:val="18"/>
          <w:color w:val="auto"/>
        </w:rPr>
        <w:t xml:space="preserve">ended March 31, 2020, in connection with the refinancing and extension of FCStone Merchant Services, LLC’s committed credit facility. </w:t>
      </w:r>
      <w:r>
        <w:rPr>
          <w:rFonts w:ascii="Times New Roman" w:cs="Times New Roman" w:eastAsia="Times New Roman" w:hAnsi="Times New Roman"/>
          <w:sz w:val="18"/>
          <w:szCs w:val="18"/>
          <w:b w:val="1"/>
          <w:bCs w:val="1"/>
          <w:i w:val="1"/>
          <w:iCs w:val="1"/>
          <w:color w:val="auto"/>
        </w:rPr>
        <w:t>Note Payable to Bank</w:t>
      </w:r>
    </w:p>
    <w:p>
      <w:pPr>
        <w:spacing w:after="0" w:line="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In April 2015, the Company obtained a $4.0 million loan from a commercial bank, secured by equipment purchased with the proceeds. The note was payable in monthly installments, with the final payment made during March 2020. The note bore interest at a rate per annum equal to LIBOR plus 2.00%.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June 11, 2020, the Company completed the issuance and sale of $350 million in aggregate principal amount of the Company’s Notes at the offering price of 98.5% of the aggregate principal amount.</w:t>
      </w:r>
    </w:p>
    <w:p>
      <w:pPr>
        <w:spacing w:after="0" w:line="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used the proceeds from the issuance of the Senior Secured Notes to fund the merger consideration for the consummation of the merger of the Company’s wholly-owned subsidiary with Gain as further discussed in Note 18, to pay acquisition related costs of the merger, and to fund the redemption of the Gain Notes. The Senior Secured Notes are fully and unconditionally guaranteed, jointly and severally, on a senior second lien secured basis, by certain subsidiaries of the Company that guarantee the Company’s senior committed credit facility and by Gain and certain of its domestic subsidiaries.</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will mature on June 15, 2025. Interest on the Senior Secured Notes accrues at a rate of 8.625% per annum and is payable semiannually in arrears on June 15 and December 15 of each year, commencing on December 15, 2020. The Company incurred debt issuance costs of $9.5 million in connection with the issuance of the Senior Secured Notes, which are being amortized over the term of the Senior Secured Notes under the effective interest method.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the option to redeem all or a portion of the Senior Secured Notes at any time prior to June 15, 2022 at a price equal to 100% of the principal amount of the Senior Secured Notes redeemed plus accrued and unpaid interest to the redemption date plus a “make-whole” premium. At any time on or after June 15, 2022, the Company may redeem the Senior Secured Notes, in whole or in part, at the redemption prices set forth in the indenture. At any time before June 15, 2022, the Company may also redeem up to 40% of the aggregate principal amount of the Senior Secured Notes at a redemption price of 108.625% of the principal amount, plus accrued and unpaid interest, if any, to the date of redemption, with the proceeds of certain equity offerings. In addition, upon the earlier to occur of (x) a business combination between the Company’s subsidiaries that are registered in the UK and regulated by the Financial Conduct Authority and (y) the one year anniversary of the date of issuance of the Senior Secured Notes, the Company may elect to redeem up to $100.0 million in aggregate principal amount of the Senior Secured Notes at a redemption price equal to 103% of the principal amount of the Senior Secured Notes redeemed, plus accrued and unpaid interest, if any, to the date of redemption. If the Company elects not to redeem the Senior Secured Notes, the holders of the Senior Secured Notes will have the right to require the Company to repurchase up to $100.0 million in aggregate principal amount of the Senior Secured Notes (or a lesser amount equal to the difference between $100.0 million and the amounts previously redeemed by the Company) at a purchase price equal to 103% of the principal amount of the Senior Secured Notes repurchased, plus accrued and unpaid interest, if any, to the date of repurchase.</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Gain merger, the Company assumed the Gain Notes in an aggregate principal amount of $92.0 million. The consummation of the merger with Gain constituted a fundamental change and make-whole fundamental change under the terms of the Gain Notes’ indenture. As a result, the holders of the Gain Notes were entitled to require the Company to repurchase the Gain Notes at a repurchase price equal to 100% of the principal amount, together with accrued and unpaid interest, on September 1, 2020. Alternatively, the holders of the Gain Notes could continue to hold such notes without exercising the repurchase right, in which case the Gain Notes continued to bear interest at 5.00% and the notes are convertible into the right to convert the principal amount of the Senior Secured Notes solely into cash in an amount equal to the conversion rate in effect on the conversion date multiplied by $6.00. Under the terms of the fundamental change and make-whole fundamental change, the Company redeemed $91.5 million of the aggregate principal amount of Gain Notes on September 1, 2020, with approximately $0.5 million remaining outstanding as of September 30, 2020. The Company was required to redeem the Senior Secured Notes in an amount equal to the aggregate principal amount of the Gain Notes that remained outstanding after the fundamental change repurchase date, at a redemption price equal to 100% of the principal amount of the Senior Secured Notes redeemed, plus accrued and unpaid interest, if any, to the redemption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Bridge Commitment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26, 2020, the Company entered into a commitment letter with Jefferies Finance LLC (“Jefferies”), pursuant to which subject to the terms and conditions set forth therein, Jefferies committed to provide a $350 million senior secured bridge loan facility to finance the merger with Gain and to pay related fees and expenses. In consideration for Jefferies commitment to provide the bridge facility, the Company paid Jefferies a non-refundable commitment fee of $4.4 million. As a result of the issuance of the Senior Secured Notes as described above, the commitment was terminated and the commitment fee was extinguished and included in ‘interest expense’ on the consolidated income statement for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a listing of credit facilities, the current committed amounts as of the report date on the facilities, and outstanding borrowings on the facilities as well as indebtedness on a promissory note and the Senior Secured Notes as of the periods indicated:</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21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Renewal/Expiration Date</w:t>
            </w: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120" w:type="dxa"/>
            <w:vAlign w:val="bottom"/>
          </w:tcPr>
          <w:p>
            <w:pPr>
              <w:spacing w:after="0"/>
              <w:rPr>
                <w:sz w:val="11"/>
                <w:szCs w:val="11"/>
                <w:color w:val="auto"/>
              </w:rPr>
            </w:pPr>
          </w:p>
        </w:tc>
        <w:tc>
          <w:tcPr>
            <w:tcW w:w="1060" w:type="dxa"/>
            <w:vAlign w:val="bottom"/>
          </w:tcPr>
          <w:p>
            <w:pPr>
              <w:jc w:val="right"/>
              <w:ind w:right="81"/>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Committed Credit Facilities</w:t>
            </w:r>
          </w:p>
        </w:tc>
        <w:tc>
          <w:tcPr>
            <w:tcW w:w="92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Term Loan</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148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22, 2022</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Revolving Line of Credit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14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22, 2022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6"/>
                <w:szCs w:val="16"/>
                <w:color w:val="auto"/>
              </w:rPr>
              <w:t>Senior StoneX Group Inc. Committed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Credit Facility</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StoneX Financial Inc.</w:t>
            </w:r>
          </w:p>
        </w:tc>
        <w:tc>
          <w:tcPr>
            <w:tcW w:w="2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April 2, 2021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FCStone Merchants Services, LLC</w:t>
            </w:r>
          </w:p>
        </w:tc>
        <w:tc>
          <w:tcPr>
            <w:tcW w:w="2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Certain commodities assets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29, 2022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StoneX Financial Ltd. (4)</w:t>
            </w:r>
          </w:p>
        </w:tc>
        <w:tc>
          <w:tcPr>
            <w:tcW w:w="2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14, 2021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Uncommitted Credit Facilities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Commodities warehouse</w:t>
            </w:r>
          </w:p>
        </w:tc>
        <w:tc>
          <w:tcPr>
            <w:tcW w:w="18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740" w:type="dxa"/>
            <w:vAlign w:val="bottom"/>
            <w:gridSpan w:val="5"/>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StoneX Financial Inc.</w:t>
            </w:r>
          </w:p>
        </w:tc>
        <w:tc>
          <w:tcPr>
            <w:tcW w:w="218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receipts and certain pledged</w:t>
            </w:r>
          </w:p>
        </w:tc>
        <w:tc>
          <w:tcPr>
            <w:tcW w:w="18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40" w:type="dxa"/>
            <w:vAlign w:val="bottom"/>
            <w:gridSpan w:val="5"/>
            <w:vMerge w:val="continue"/>
            <w:shd w:val="clear" w:color="auto" w:fill="CCEEFF"/>
          </w:tcPr>
          <w:p>
            <w:pPr>
              <w:spacing w:after="0"/>
              <w:rPr>
                <w:sz w:val="18"/>
                <w:szCs w:val="18"/>
                <w:color w:val="auto"/>
              </w:rPr>
            </w:pPr>
          </w:p>
        </w:tc>
        <w:tc>
          <w:tcPr>
            <w:tcW w:w="2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FCStone Merchant Services, LLC</w:t>
            </w:r>
          </w:p>
        </w:tc>
        <w:tc>
          <w:tcPr>
            <w:tcW w:w="2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Certain commodities assets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Commodities warehouse</w:t>
            </w: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740" w:type="dxa"/>
            <w:vAlign w:val="bottom"/>
            <w:gridSpan w:val="5"/>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StoneX Financial Ltd.</w:t>
            </w:r>
          </w:p>
        </w:tc>
        <w:tc>
          <w:tcPr>
            <w:tcW w:w="21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receipts</w:t>
            </w:r>
          </w:p>
        </w:tc>
        <w:tc>
          <w:tcPr>
            <w:tcW w:w="18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2740" w:type="dxa"/>
            <w:vAlign w:val="bottom"/>
            <w:gridSpan w:val="5"/>
            <w:vMerge w:val="continue"/>
            <w:shd w:val="clear" w:color="auto" w:fill="CCEEFF"/>
          </w:tcPr>
          <w:p>
            <w:pPr>
              <w:spacing w:after="0"/>
              <w:rPr>
                <w:sz w:val="7"/>
                <w:szCs w:val="7"/>
                <w:color w:val="auto"/>
              </w:rPr>
            </w:pPr>
          </w:p>
        </w:tc>
        <w:tc>
          <w:tcPr>
            <w:tcW w:w="2180" w:type="dxa"/>
            <w:vAlign w:val="bottom"/>
            <w:gridSpan w:val="3"/>
            <w:vMerge w:val="continue"/>
            <w:shd w:val="clear" w:color="auto" w:fill="CCEEFF"/>
          </w:tcPr>
          <w:p>
            <w:pPr>
              <w:spacing w:after="0"/>
              <w:rPr>
                <w:sz w:val="7"/>
                <w:szCs w:val="7"/>
                <w:color w:val="auto"/>
              </w:rPr>
            </w:pPr>
          </w:p>
        </w:tc>
        <w:tc>
          <w:tcPr>
            <w:tcW w:w="180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Notes payable to bank</w:t>
            </w:r>
          </w:p>
        </w:tc>
        <w:tc>
          <w:tcPr>
            <w:tcW w:w="2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Certain equipment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6"/>
                <w:szCs w:val="16"/>
                <w:color w:val="auto"/>
              </w:rPr>
              <w:t>Senior Secured Notes</w:t>
            </w:r>
          </w:p>
        </w:tc>
        <w:tc>
          <w:tcPr>
            <w:tcW w:w="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(2)</w:t>
            </w:r>
          </w:p>
        </w:tc>
        <w:tc>
          <w:tcPr>
            <w:tcW w:w="14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outstanding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firstLine="8"/>
        <w:spacing w:after="0" w:line="280" w:lineRule="auto"/>
        <w:tabs>
          <w:tab w:leader="none" w:pos="22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StoneX Group Inc. committed credit facility is secured by substantially all of the assets of StoneX Group Inc. and certain subsidiaries identified in the credit facility agreement as obligors, and pledged equity of certain subsidiaries identified in the credit facility as limited guarantors.</w:t>
      </w:r>
    </w:p>
    <w:p>
      <w:pPr>
        <w:spacing w:after="0" w:line="56" w:lineRule="exact"/>
        <w:rPr>
          <w:rFonts w:ascii="Times New Roman" w:cs="Times New Roman" w:eastAsia="Times New Roman" w:hAnsi="Times New Roman"/>
          <w:sz w:val="16"/>
          <w:szCs w:val="16"/>
          <w:color w:val="auto"/>
        </w:rPr>
      </w:pPr>
    </w:p>
    <w:p>
      <w:pPr>
        <w:jc w:val="both"/>
        <w:ind w:right="80" w:firstLine="8"/>
        <w:spacing w:after="0" w:line="258" w:lineRule="auto"/>
        <w:tabs>
          <w:tab w:leader="none" w:pos="22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Secured Notes and the related guarantees are secured by liens on substantially all of the Company’s and the guarantors’ assets, subject to certain customary and other exceptions and permitted liens. The liens on the assets that secure the Senior Secured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spacing w:after="0" w:line="72" w:lineRule="exact"/>
        <w:rPr>
          <w:rFonts w:ascii="Times New Roman" w:cs="Times New Roman" w:eastAsia="Times New Roman" w:hAnsi="Times New Roman"/>
          <w:sz w:val="16"/>
          <w:szCs w:val="16"/>
          <w:color w:val="auto"/>
        </w:rPr>
      </w:pPr>
    </w:p>
    <w:p>
      <w:pPr>
        <w:ind w:right="220" w:firstLine="8"/>
        <w:spacing w:after="0" w:line="280" w:lineRule="auto"/>
        <w:tabs>
          <w:tab w:leader="none" w:pos="22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outstanding under the Term Loan and the Senior Secured Notes are reported net of unamortized deferred financing costs and original issue discount of $0.5 million and $14.0 million, respectively.</w:t>
      </w:r>
    </w:p>
    <w:p>
      <w:pPr>
        <w:spacing w:after="0" w:line="56" w:lineRule="exact"/>
        <w:rPr>
          <w:rFonts w:ascii="Times New Roman" w:cs="Times New Roman" w:eastAsia="Times New Roman" w:hAnsi="Times New Roman"/>
          <w:sz w:val="16"/>
          <w:szCs w:val="16"/>
          <w:color w:val="auto"/>
        </w:rPr>
      </w:pPr>
    </w:p>
    <w:p>
      <w:pPr>
        <w:ind w:right="120" w:firstLine="8"/>
        <w:spacing w:after="0" w:line="280" w:lineRule="auto"/>
        <w:tabs>
          <w:tab w:leader="none" w:pos="22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StoneX Financial Ltd committed credit facility facility in place at September 30, 2020 matured on October 14, 2020 and was replaced by an unsecured syndicated committed borrowing facility with substantially the similar terms. The expiration date noted above relates to the new facility which became effective October 14, 2020.</w:t>
      </w:r>
    </w:p>
    <w:p>
      <w:pPr>
        <w:spacing w:after="0" w:line="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reflected above, $75.0 million of the Company’s committed credit facilities are scheduled to expire during the fiscal year ended September 30, 2021. The Company intends to renew or replace these facilities as they expire, and based on the Company’s liquidity position and capital structure, the Company believes it will be able to do so.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and regulatory proceedings that are pending against the Company or unasserted claims that may result in such proceedings, the Company’s legal counsel evaluates the perceived merits of any legal or regulatory proceedings or unasserted claims as well as the perceived merits of the amount of relief sought or expected to be sought therein.</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had been incurred at the date of the financial statements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Neither accrual nor disclosure is required for loss contingencies that are deemed remote. The Company accrues legal fees related to contingent liabilities as they are incurred.</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limits of the respective policy. Additionally, the Company is subject to extensive regulation and supervision by U.S. federal and international governmental agencies and various self-regulatory organizations. The Company and its advisors periodically engage with such regulatory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2020 and 2019, the consolidated balance sheets include loss contingency accruals, recorded during and prior to these fiscal years then ended, which are not material, individually or in the aggregate, to the Company’s financial position or liquidity. In the opinion of management, possible exposure from loss contingencies in excess of the amounts accrued, and in addition to the possible losses discussed below, is not material to the Company’s earnings, financial position or liquidity.</w:t>
      </w:r>
    </w:p>
    <w:p>
      <w:pPr>
        <w:spacing w:after="0" w:line="72" w:lineRule="exact"/>
        <w:rPr>
          <w:sz w:val="20"/>
          <w:szCs w:val="20"/>
          <w:color w:val="auto"/>
        </w:rPr>
      </w:pPr>
    </w:p>
    <w:p>
      <w:pPr>
        <w:ind w:right="5440"/>
        <w:spacing w:after="0" w:line="375" w:lineRule="auto"/>
        <w:rPr>
          <w:sz w:val="20"/>
          <w:szCs w:val="20"/>
          <w:color w:val="auto"/>
        </w:rPr>
      </w:pPr>
      <w:r>
        <w:rPr>
          <w:rFonts w:ascii="Times New Roman" w:cs="Times New Roman" w:eastAsia="Times New Roman" w:hAnsi="Times New Roman"/>
          <w:sz w:val="18"/>
          <w:szCs w:val="18"/>
          <w:color w:val="auto"/>
        </w:rPr>
        <w:t xml:space="preserve">The following is a summary of a significant legal matter involving the Company </w:t>
      </w:r>
      <w:r>
        <w:rPr>
          <w:rFonts w:ascii="Times New Roman" w:cs="Times New Roman" w:eastAsia="Times New Roman" w:hAnsi="Times New Roman"/>
          <w:sz w:val="18"/>
          <w:szCs w:val="18"/>
          <w:i w:val="1"/>
          <w:iCs w:val="1"/>
          <w:color w:val="auto"/>
        </w:rPr>
        <w:t>OptionSellers</w:t>
      </w:r>
    </w:p>
    <w:p>
      <w:pPr>
        <w:spacing w:after="0" w:line="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During the week ended November 16, 2018, balances in approximately 300 accounts of the FCM division of the Company’s wholly owned subsidiary, StoneX Financial Inc., declined below required maintenance margin levels, primarily as a result of significant and unexpected price fluctuations in the natural gas markets. All positions in these accounts, which were managed by OptionSellers.com Inc. (“OptionSellers”), an independent Commodity Trading Advisor (“CTA”), were liquidated in accordance with the StoneX Financial Inc.’s client agreements and obligations under market regulation standards.</w:t>
      </w:r>
    </w:p>
    <w:p>
      <w:pPr>
        <w:spacing w:after="0" w:line="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 CTA is registered with the U.S. Commodity Futures Trading Commission (“CFTC”) and a member of, and subject to audit by, the National Futures Association (“NFA”). OptionSellers is registered under a CFTC Rule 4.7 exemption for “qualified eligible persons,” which requires the account holders authorizing OptionSellers to act as their CTA to meet or exceed certain minimum financial requirements. OptionSellers, in its role as a CTA, had been granted by each of its clients full discretionary authority to manage the trading in the client accounts, while StoneX Financial Inc. acted solely as the clearing firm in its role as the FCM.</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StoneX Financial Inc.’s client agreements hold account holders liable for all losses in their accounts and obligate the account holders to reimburse StoneX Financial Inc. for any account deficits in their accounts. As of September 30, 2019, the aggregate receivable from these client accounts, net of collections and other allowable deductions, was $29.0 million, with no individual account receivable exceeding $1.4 million. StoneX Financial Inc. continues to pursue collection of these receivables and intends both to enforce and to defend its rights aggressively, and to claim interest and costs of collection where applicable.</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StoneX Financial Inc. has been named in arbitrations brought by clients seeking damages relating to the trading losses in these accounts. The Company believes that such cases are without merit and intend to defend them vigorously. At the same time, the Company has initiated numerous arbitration proceedings against clients to recover deficit balances in their accounts. The Company believes it has a valid claim against its clients, based on the express language of the client contracts and legal precedent, and intends to pursue collection of these claims vigorously.</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has done an assessment of the collectability of these accounts, considered the status of arbitration proceedings, and has concluded that it does not have a sufficient basis to record an allowance against these uncollected balances. As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Company moves through the collection and arbitration processes and additional information becomes available, the Company will continue to consider the need for an allowance against the carrying value of these uncollected balances. Depending on future collections and arbitration proceedings, any provisions for bad debts and actual losses ultimately may or may not be material to the Company’s financial results. Currently, the Company does not believe that any potential losses related to this matter would impact its ability to comply with its ongoing liquidity, capital, and regulatory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an estimate of contractual purchase commitments in the ordinary course of business primarily for the purchase of precious metals and agricultural and energy commodities. Unpriced contract commitments have been estimated using September 30, 2020 fair values. The purchase commitments and other obligations as of September 30, 2020 for less than one year, one to three years, three to five years, and after five years were $5,230.9 million, $19.2 million, $17.2 million, and $3.2 million respectively. The purchase commitments for less than one year will be offset by corresponding sales commitments of $5,162.4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Member Guarantees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 member of various exchanges that trade and clear futures and option contracts. In connection with the Sterne acquisition, the Company is also a member of and provides guarantees to securities clearinghouses and exchanges in connection with client trading activities. Associated with its memberships, the Company may be required to pay a proportionate share of the financial obligations of another member who may default on its obligations to the exchanges. While the rules governing different exchange memberships vary, in general the Company’s guarantee obligations would arise only if the exchange had previously exhausted its resources. In addition, any such guarantee obligation would be apportioned among the other non-defaulting members of the exchange. Any potential contingent liability under these arrangements is not quantifiable and could exceed the cash and securities it has posted to the clearinghouse as collateral.</w:t>
      </w:r>
    </w:p>
    <w:p>
      <w:pPr>
        <w:spacing w:after="0" w:line="8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contingent liability in the consolidated financial statements for these agreements and believes that any potential requirement to make payments under these agreements is remote.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self-insures its costs related to medical and dental claims. The Company is self-insured, up to a stop loss amount, for eligible participating employees and retirees, and for qualified dependent medical and dental claims, subject to deductibles and limitations. Liabilities are recognized based on claims filed and an estimate of claims incurred but not reported. The Company has purchased stop-loss coverage to limit its exposure on a per claim basis and in aggregate in the event that aggregated actual claims would exceed 120% of actuarially estimated claims. The Company is insured for covered costs in excess of these limits. Although the ultimate outcome of these matters may exceed the amounts recorded and additional losses may be incurred, the Company does not believe that any additional potential exposure for such liabilities will have a material adverse effect on the Company’s consolidated financial position or results of operations. As of September 30, 2020 and September 30, 2019, the Company had $1.1 million and $0.8 million, respectively, accrued for self-insured medical and dental claims included in ‘accounts payable and other liabilities’ in the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Regulatory Requirements and Subsidiary Dividend Restrictions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subsidiary StoneX Financial is registered as a broker dealer and member of the Financial Industry Regulatory Authority (“FINRA”) subject to the SEC Uniform Net Capital Rule 15c3-1, which requires the maintenance of minimum net capital. StoneX Financial is also a futures commission merchant registered with the CFTC and subject to the net capital requirements of the CFTC Regulation 1.17. Under the more restrictive of these rules, StoneX Financial is required to maintain “adjusted net capital”, equivalent to the greater of $1,000,000 or 8 percent of client and non-client risk maintenance margin requirements on all positions, as defined in such rules, regulations, and requirements. Adjusted net capital and the related net capital requirement may fluctuate on a daily basis. StoneX Financial also has a restriction on dividends, which restricts the withdrawal of equity capital if the planned withdrawal would reduce net capital, subsequent to haircuts and charges, to an amount less than 120% of the greatest minimum requirement.</w:t>
      </w:r>
    </w:p>
    <w:p>
      <w:pPr>
        <w:spacing w:after="0" w:line="8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Company’s subsidiary Gain Capital Group, LLC is subject to regulation by the CFTC and NFA and is required to maintain specific levels of regulatory capital. As a futures commission merchant and retail foreign exchange dealer, Gain Capital Group, LLC is required to maintain adjusted net capital of the greater of $1.0 million or 8% of customer and non-customer risk maintenance margin, or $20.0 million plus 5.0% of the amount of retail customer liabilities over $10.0 million, plus 10% of all liabilities owed to eligible contract participant counterparties acting as a dealer that are not an affiliate.</w:t>
      </w:r>
    </w:p>
    <w:p>
      <w:pPr>
        <w:spacing w:after="0" w:line="1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StoneX Financial as a registered securities carrying broker dealer is also subject to Rule 15c3-3 of the Securities Exchange Act of 1934 (“Rule 15c3-3”), which requires the Company to maintain separate accounts for the benefit of securities clients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proprietary accounts of broker dealers (“PABs”). These client protection rules require the Company to maintain special reserve bank accounts (“SRBAs”) for the exclusive benefit of securities clients and PABs. As of September 30, 2020, StoneX Financial prepared reserve computations for the client accounts and PAB accounts in accordance with the customer reserve computation guidelines set forth in Rule 15c3-3. Based upon these computations, the customer reserve requirement was $18.5 million as of September 30, 2020. The Company held $17.3 million in the customer SRBA as of September 30, 2020 and made additional deposits of $6.2 million on October 2, 2020, to meet the customer segregation and segregated deposit timing requirements of Rule 15c3-3. The PAB reserve requirement was $2.2 million as of September 30, 2020. The Company held $2.1 million in the PAB SRBA as of September 30, 2020, and made additional deposits of $1.1 million on October 2, 2020, to meet the PAB segregation and segregated deposit timing requirements of Rule 15c3-3.</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requirements of the Commodity Exchange Act, funds deposited by clients of StoneX Financial and Gain Capital Group, LLC relating to their trading of futures and options on futures on a U.S. commodities exchange must be carried in separate accounts which are designated as segregated clients’ accounts. Pursuant to the requirements of the CFTC, funds deposited by clients of StoneX Financial and Gain Capital Group, LLC relating to their trading of futures and options on futures traded on, or subject to the rules of, a foreign board of trade must be carried in separate accounts in an amount sufficient to satisfy all of StoneX Financial’s and Gain Capital Group, LLC’s current obligations to clients trading foreign futures and foreign options on foreign commodity exchanges or boards of trade, which are designated as secured clients’ accounts. As of September 30, 2020, StoneX Financial had client segregated and client secured funds of $3,089.9 million and $162.6 million, respectively, compared to a minimum regulatory requirement of $3,030.6 million and $150.1 million, respectively. As of September 30, 2020, Gain Capital Group, LLC had client segregated and client secured funds of $340.4 million and $4.3 million, respectively, compared to a minimum regulatory requirement of $319.8 million and $2.5 million, respectively.</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subsidiaries StoneX Financial Ltd. and Gain Capital U.K. Ltd. are regulated by the Financial Conduct Authority (“FCA”), the regulator of the financial services industry in the U.K. The regulations impose regulatory capital, as well as conduct of business, governance, and other requirements. The conduct of business rules include those that govern the treatment of client money and other assets which under certain circumstances for certain classes of client must be segregated from the firm’s own assets. As of September 30, 2020, StoneX Financial Ltd. and Gain Capital U.K. Ltd. had client segregated funds of $516.5 million and $206.9 million, respectively, compared to a minimum regulatory requirement of $505.6 million and $205.6 million, respectively.</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StoneX Financial Pte. Ltd. is regulated by the Monetary Authority of Singapore (“MAS”) and operates as an approved holder of a Capital Market Services License. StoneX Financial Pte. Ltd. is subject to the requirements of MAS and pursuant to the Securities and Futures Act. The regulations include those that govern the treatment of client money and other assets which under certain circumstances must be segregated from the firm’s own assets. As of September 30, 2020, StoneX Financial Pte. Ltd. had client segregated funds of $340.6 million compared to a minimum regulatory requirement of $338.9 million.</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subsidiaries with a minimum regulatory net capital requirement in excess of $5.0 million as well as the actual regulatory capital of the subsidiary as of September 30, 2020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7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Regulatory Authority</w:t>
            </w:r>
          </w:p>
        </w:tc>
        <w:tc>
          <w:tcPr>
            <w:tcW w:w="66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3"/>
                <w:szCs w:val="13"/>
                <w:color w:val="auto"/>
              </w:rPr>
            </w:pPr>
          </w:p>
        </w:tc>
        <w:tc>
          <w:tcPr>
            <w:tcW w:w="9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Requirement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StoneX Financial Inc.</w:t>
            </w:r>
          </w:p>
        </w:tc>
        <w:tc>
          <w:tcPr>
            <w:tcW w:w="2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gridSpan w:val="2"/>
            <w:vMerge w:val="continue"/>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 and CFTC</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Financial Ltd.</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FCA</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Capital Group, LLC</w:t>
            </w:r>
          </w:p>
        </w:tc>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CFTC</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Capital U.K. Ltd.</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FCA</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other subsidiaries of the Company, each with a minimum requirement less than $5.0 million, are also subject to net capital requirements promulgated by authorities in the countries in which they operate. As of September 30, 2020, all of the Company’s subsidiaries were in compliance with their local regulatory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Securities and Commodity Financing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securities purchased under agreements to resell, securities sold under agreements to repurchase, securities borrowed and securities loaned transactions to, among other things, fund principal debt trading, acquire securities to cover short positions, acquire securities for settlement, and to accommodate counterparties’ needs under matched-book trading strategies. These agreements are recorded as collateralized financings at their contractual amounts plus accrued interest. The related interest is recorded in the consolidated income statements as interest income or interest expense, as applicable. In connection with these agreements and transactions, it is the policy of the Company to receive or pledge cash or securities to adequately collateralize such agreements and transactions in accordance with contractual agreements. The collateral is valued daily and the Company may require counterparties to deposit additional collateral or return collateral pledged.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pledges financial instruments owned to collateralize repurchase agreements. At September 30, 2020 and 2019, financial instruments owned, at fair value of $468.6 million and $478.8 million, respectively, were pledged as collateral under repurchase agreements. The counterparty has the right to repledge the collateral in connection with these transactions. These financial instruments owned have been pledged as collateral and have been parenthetically disclosed on the consolidated balance sheets.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of September 30, 2020 and 2019, the Company pledged financial instruments owned, at fair value of $1,266.4 million and $1,228.9 million, respectively, to cover collateral requirements for tri-party repurchase agreements. These securities have not been parenthetically disclosed on the consolidated balance sheets since the counterparties do not have the right to sell or repledge the collateral. The Company also repledged securities received under reverse repurchase agreements of $1,484.7 million and $1,175.1 million, respectively, to cover collateral requirements for tri-party repurchase agreements.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repledged securities borrowed and client securities held under custodial clearing arrangements to collateralize securities loaned agreements with a fair value of $1,410.3 million and $1,414.0 million as of September 30, 2020 and 2019,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2020 and 2019, the Company had accepted collateral that it is permitted by contract to sell or repledge. This collateral consists primarily of securities received in reverse repurchase agreements, securities borrowed agreements, and margin securities held on behalf of correspondent brokers. The fair value of such collateral at September 30, 2020 and 2019 was $3,303.1 million and $3,060.2 million, respectively, of which $285.7 million and $329.8 million, respectively, was used to cover securities sold short which are recorded in financial instruments sold, not yet purchased on the consolidated balance sheets. In the normal course of business, this collateral is used by the Company to cover financial instruments sold, not yet purchased, to obtain financing in the form of repurchase agreements, and to meet counterparties’ needs under lending arrangements and matched-book trading strategies.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contractual maturities of gross obligations under repurchase and securities lending agreements as of the periods indicated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Overnight and Open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30 Days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Over 90 Days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1,736.3</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 loaned</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1,441.9</w:t>
            </w: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3,178.2</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Overnight and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30 Days</w:t>
            </w:r>
          </w:p>
        </w:tc>
        <w:tc>
          <w:tcPr>
            <w:tcW w:w="220" w:type="dxa"/>
            <w:vAlign w:val="bottom"/>
          </w:tcPr>
          <w:p>
            <w:pPr>
              <w:spacing w:after="0"/>
              <w:rPr>
                <w:sz w:val="13"/>
                <w:szCs w:val="13"/>
                <w:color w:val="auto"/>
              </w:rPr>
            </w:pPr>
          </w:p>
        </w:tc>
        <w:tc>
          <w:tcPr>
            <w:tcW w:w="12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Over 90 Days</w:t>
            </w: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Open</w:t>
            </w:r>
          </w:p>
        </w:tc>
        <w:tc>
          <w:tcPr>
            <w:tcW w:w="14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5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654.0</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 loaned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3,013.8</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654.0</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underlying collateral types of the gross obligations under repurchase and securities lending agreements as of the periods indicated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sold under agreements to repurchase</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21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agency obligations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obligations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mortgage-backed obligations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2,208.7</w:t>
            </w:r>
          </w:p>
        </w:tc>
      </w:tr>
      <w:tr>
        <w:trPr>
          <w:trHeight w:val="21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securities sold under agreement to repurchase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w:t>
            </w:r>
          </w:p>
        </w:tc>
      </w:t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loaned</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1,459.9</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securities loaned</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1,459.9</w:t>
            </w:r>
          </w:p>
        </w:tc>
      </w:tr>
      <w:tr>
        <w:trPr>
          <w:trHeight w:val="212"/>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4,233.6</w:t>
            </w: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netting of securities purchased under agreements to resell, securities sold under agreements to repurchase, securities borrowed and securities loaned as of the periods indicated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0" w:type="dxa"/>
            <w:vAlign w:val="bottom"/>
          </w:tcPr>
          <w:p>
            <w:pPr>
              <w:spacing w:after="0"/>
              <w:rPr>
                <w:sz w:val="11"/>
                <w:szCs w:val="11"/>
                <w:color w:val="auto"/>
              </w:rPr>
            </w:pPr>
          </w:p>
        </w:tc>
        <w:tc>
          <w:tcPr>
            <w:tcW w:w="1680" w:type="dxa"/>
            <w:vAlign w:val="bottom"/>
          </w:tcPr>
          <w:p>
            <w:pPr>
              <w:jc w:val="center"/>
              <w:ind w:right="82"/>
              <w:spacing w:after="0" w:line="134"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9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0" w:type="dxa"/>
            <w:vAlign w:val="bottom"/>
          </w:tcPr>
          <w:p>
            <w:pPr>
              <w:spacing w:after="0"/>
              <w:rPr>
                <w:sz w:val="1"/>
                <w:szCs w:val="1"/>
                <w:color w:val="auto"/>
              </w:rPr>
            </w:pPr>
          </w:p>
        </w:tc>
      </w:tr>
      <w:tr>
        <w:trPr>
          <w:trHeight w:val="189"/>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1,696.2</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1,696.2</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borrowed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loaned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0" w:type="dxa"/>
            <w:vAlign w:val="bottom"/>
          </w:tcPr>
          <w:p>
            <w:pPr>
              <w:spacing w:after="0"/>
              <w:rPr>
                <w:sz w:val="11"/>
                <w:szCs w:val="11"/>
                <w:color w:val="auto"/>
              </w:rPr>
            </w:pPr>
          </w:p>
        </w:tc>
        <w:tc>
          <w:tcPr>
            <w:tcW w:w="1680" w:type="dxa"/>
            <w:vAlign w:val="bottom"/>
          </w:tcPr>
          <w:p>
            <w:pPr>
              <w:jc w:val="center"/>
              <w:ind w:right="82"/>
              <w:spacing w:after="0" w:line="134"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9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0" w:type="dxa"/>
            <w:vAlign w:val="bottom"/>
          </w:tcPr>
          <w:p>
            <w:pPr>
              <w:spacing w:after="0"/>
              <w:rPr>
                <w:sz w:val="1"/>
                <w:szCs w:val="1"/>
                <w:color w:val="auto"/>
              </w:rPr>
            </w:pPr>
          </w:p>
        </w:tc>
      </w:tr>
      <w:tr>
        <w:trPr>
          <w:trHeight w:val="189"/>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1,474.4</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w w:val="98"/>
              </w:rPr>
              <w:t>(49.9)</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borrowed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1,423.2</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1,423.2</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2,823.6</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w w:val="98"/>
              </w:rPr>
              <w:t>(49.9)</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loaned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Share-Based Compensation</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included in ‘compensation and benefits’ in the consolidated income statements and totaled $10.3 million, $8.1 million and $6.6 million for the fiscal years ended September 30, 2020, 2019, and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sponsors a stock option plan for its directors, officers, employees and consultants. The 2013 Stock Option Plan, which was approved by the Company’s Board of Directors and shareholders, authorizes the Company to issue stock options covering up to 2.0 million shares of the Company’s common stock. As of September 30, 2020, there were 0.7 million shares authorized for future grant under this plan. Awards that expire or are canceled generally become available for issuance again under the plan. The Company settles stock option exercises with newly issued shares of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is estimated at the grant date based on a Black-Scholes-Merton option-pricing model using the following weighted-average assumptions:</w:t>
      </w:r>
    </w:p>
    <w:p>
      <w:pPr>
        <w:spacing w:after="0" w:line="9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 %</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5"/>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1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expected life (in years)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bl>
    <w:p>
      <w:pPr>
        <w:spacing w:after="0" w:line="131"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There were no stock options granted under the plan during the year ended September 30, 2020.</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Expected stock price volatility rates are primarily based on the historical volatility. The Company has not paid dividends in the past and does not currently expect to do so in the future. Risk free interest rates are based on the U.S. Treasury yield curve in effect at the time of grant for periods corresponding with the expected life of the option or award. The average expected life represents the estimated period of time that options or awards granted are expected to be outstanding, based on the Company’s historical share option exercise experience for similar option grants. The weighted average fair value of options issued during fiscal years ended September 30, 2020, 2019, and 2018 was $0.00, $10.47 and 9.79,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2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1"/>
                <w:szCs w:val="11"/>
                <w:color w:val="auto"/>
              </w:rPr>
            </w:pPr>
          </w:p>
        </w:tc>
        <w:tc>
          <w:tcPr>
            <w:tcW w:w="102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1"/>
                <w:szCs w:val="11"/>
                <w:color w:val="auto"/>
              </w:rPr>
            </w:pPr>
          </w:p>
        </w:tc>
        <w:tc>
          <w:tcPr>
            <w:tcW w:w="102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692,652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1,684,378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Expired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724,483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2020</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total compensation cost not yet recognized for non-vested awards of $7.2 million as of September 30, 2020 has a weighted-average period of 5.35 years over which the compensation expense is expected to be recognized. The total intrinsic value of options exercised during fiscal years ended September 30, 2020, 2019, and 2018 was $4.2 million, $0.7 million and $2.1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outstanding as of September 30, 2020 broken down by exercise price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580" w:type="dxa"/>
            <w:vAlign w:val="bottom"/>
            <w:gridSpan w:val="3"/>
            <w:vMerge w:val="restart"/>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6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3"/>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0" w:type="dxa"/>
            <w:vAlign w:val="bottom"/>
          </w:tcPr>
          <w:p>
            <w:pPr>
              <w:spacing w:after="0"/>
              <w:rPr>
                <w:sz w:val="1"/>
                <w:szCs w:val="1"/>
                <w:color w:val="auto"/>
              </w:rPr>
            </w:pPr>
          </w:p>
        </w:tc>
      </w:tr>
      <w:tr>
        <w:trPr>
          <w:trHeight w:val="209"/>
        </w:trPr>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7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7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25.91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47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126,161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39.65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4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47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55.28</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5"/>
        </w:trPr>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1,408,036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Plan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sponsors a restricted stock plan for its directors, officers and employees. The Company’s 2017 restricted stock plan, which was approved by the Company’s Board of Directors and shareholders, authorizes up to 1.5 million shares to be issued. As of September 30, 2020, 0.9 million shares were authorized for future grant under the restricted stock plan. Awards that expire or are canceled generally become available for issuance again under the plan. The Company utilizes newly issued shares of common stock to make restricted stock grants.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through 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10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1"/>
                <w:szCs w:val="11"/>
                <w:color w:val="auto"/>
              </w:rPr>
            </w:pPr>
          </w:p>
        </w:tc>
        <w:tc>
          <w:tcPr>
            <w:tcW w:w="108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1,156,902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(299,858)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44.23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2020</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861,454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total compensation cost not yet recognized of $15.6 million as of September 30, 2020 has a weighted-average period of 1.37 years over which the compensation expense is expected to be recognized. Compensation expense is amortized on a straight-line basis over the vesting period. Restricted stock grants are included in the Company’s total issued and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Retirement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Retirement Plans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Company has a frozen qualified defined benefit pension plan (the “Qualified Plan”) and a nonqualified defined benefit pension plan (the “Nonqualified Plan”), and recognizes their funded status, measured as the difference between the fair value of the plan assets and the projected benefit obligation, in “other assets” or “accounts payable and other accrued liabilities” in the consolidated balance sheets, depending on the funded status of each plan.</w:t>
      </w:r>
    </w:p>
    <w:p>
      <w:pPr>
        <w:spacing w:after="0" w:line="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Qualified Plan assets, which are managed in a third-party trust, primarily consist of a diversified blend of approximately 80% debt securities and 20% equity investments and had a total fair value of $40.8 million and $38.9 million as of September 30, 2020 and 2019, respectively. All Qualified Plan assets fall within Level 2 of the fair value hierarchy. The benefit obligation associated with the Qualified Plan will vary over time only as a result of changes in market interest rates, the life expectancy of the plan participants, and benefit payments, since the accrual of benefits was suspended when the Qualified Plan was frozen in 2006. The benefit obligation was $38.1 million and $36.5 million and the discount rate assumption used in the measurement of this obligation was 2.55% and 3.10% as of September 30, 2020 and 2019, respectively. Related to the Qualified Plan, the Company’s net pension obligation was in a funded status of $2.7 million and $2.4 million as of September 30, 2020 and 2019, respectively.</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Nonqualified Plan assets had a total fair value of less than $0.1 million as of September 30, 2020 and 2019. The benefit obligation associated with the Nonqualified Plan will vary over time only as a result of changes in market interest rates, the life expectancy of the plan participants, and benefit payments. There are no active participants in the Nonqualified plan. The benefit obligation was $1.6 million and $1.7 million as of September 30, 2020 and 2019, respectively. Related to the Nonqualified Plan, the Company’s unfunded pension obligation was $1.6 million as of September 30, 2020 and 2019.</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a net periodic benefit of $0.4 million, $0.1 million and $0.2 million for the year ended September 30, 2020, 2019 and 2018, respectively. The expected long-term return on plan assets assumption was 4.35% for 2020. The Company made contributions of $0.1 million to the plans in the years ended September 30, 2020 and 2019. The Company complies with minimum funding requirements. The estimated undiscounted future benefit payments are expected to be $2.1 million in 2021, $2.1 million in 2022, $2.1 million in 2023, $2.1 million in 2024, $2.0 million in 2025 and $9.5 million in 2026 through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offers participation in the StoneX Group Inc. 401(k) Plan (“401(k) Plan”), a defined contribution plan providing retirement benefits to all domestic full-time non-temporary employees who have reached 21 years of age. Employees may contribute from 1% to 80% of their annual compensation to the 401(k) Plan, limited to a maximum annual amount as set periodically by the Internal Revenue Service. The Company makes matching contributions to the 401(k) Plan in an amount equal to 62.5% of each participant’s eligible elective deferral contribution to the 401(k) Plan, up to 8% of employee compensation. Matching contributions vest, by participant, based on the following years of service schedule: less than two years – none, after two years – 33%, after three years – 66%, and after four years – 100%.</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U.K. based employees of StoneX Group are eligible to participate in a defined contribution pension plan. The Company contributes double the employee’s contribution up to 10% of total base salary for this plan. For this plan, employees are 100% vested in both the employee and employer contributions at all times.</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fiscal year ended September 30, 2020, 2019 and 2018, the Company’s contributions to these defined contribution plans were $10.1 million, $7.5 million and $6.8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Other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for the years ended September 30, 2020, 2019, and 2018 are comprised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supplies and printing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clearing related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Bad Debt on Physical Coal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2018 and 2017, the Company recorded charges to earnings of $1.0 million and $47.0 million, respectively, to record an allowance for doubtful accounts related to a bad debt incurred in the physical coal business, conducted solely in the Company’s Singapore subsidiary, StoneX APAC Pte. Ltd., with a coal supplier. Components of the bad debt on physical coal included allowances on amounts due to the Company from its supplier related to: coal paid for but not delivered to clients; reimbursement of demurrage claims, dead freight and other charges paid by StoneX APAC Pte. Ltd. to its clients; reimbursement due for deficiencies in the quality of coal delivered to clients; and losses incurred related to the cancellation of open sales contracts. During the year ended September 30, 2018, the Company completed its exit of the physical coal business.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the Company reached settlements with clients, paying $8.4 million related to demurrage, dead freight, and other penalty charges regarding coal supplied during fiscal 2017. The settlement amounts paid were less than the accrued liabilities for the transactions recorded during fiscal 2018 and fiscal 2017, and accordingly the Company recorded a recovery on the bad debt on physical coal of $2.4 million. During the year ended September 30, 2019, the Company also received $10.0 million through an insurance policy claim related to the physical coal matter, and recorded the insurance proceeds as an additional recovery. The Company has presented the bad debt on physical coal and subsequent recoveries separately as a component of income before tax in the consolidated income statements.</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2020, the Company charged off $35.6 million of receivables against the allowance for doubtful accounts related to the physical coal business as the Company had exhausted all economically sensible means of recovery.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Tax Cuts and Jobs Act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and enacted into law H.R. 1, the Tax Cuts and Jobs Act (“the Tax Reform”). Among the significant changes to the U.S. Internal Revenue Code, the Tax Reform lowered the U.S. federal corporate income tax rate from 35% to 21%, effective January 1, 2018. The Company computed its income tax expense for the years ending September 30, 2020 and 2019 using a U.S. statutory tax rate of 21%. The Company computed income tax expense for the year ended September 30, 2018 using a U.S. statutory tax rate of 24.5%. The Tax Reform imposed a mandatory repatriation transition tax on previously untaxed accumulated and current earnings and profits (“E&amp;P”) of certain foreign subsidiaries for the year ended September 30, 2018.</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Tax Reform also established new tax laws that affected the years ending September 30, 2020 and 2019, including, but not limited to, (1) elimination of the corporate alternative minimum tax, (2) a new provision designed to tax global intangible low-taxed income (“GILTI”), (3) limitations on the utilization of net operating losses incurred in tax years beginning after September 30, 2018 to 80% of taxable income per tax year, (4) the creation of the base erosion anti-abuse tax (“BEAT”), (5) a general elimination of U.S. federal income taxes on dividends from foreign subsidiaries, and (6) limitations on the deductibility of interest expense and certain executive compensation. The Company made the policy election to treat GILTI as a current period expense when incurred.</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2018, the Company recorded income tax expense of $8.6 million related to the remeasurement of deferred tax assets and liabilities, which increased the effective tax rate by 8.5%.</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Tax Reform also included a mandatory repatriation transition tax on previously untaxed accumulated and current E&amp;P of certain of the Company’s foreign subsidiaries. To determine the amount of the transition tax, the Company determined, in addition to other factors, the amount of post 1986 E&amp;P of the relevant subsidiaries, as well as the amount of non-U.S. income taxes paid on such earnings. The Company recorded a transition tax obligation of $11.2 million during the year ended September 30, 2018, which increased the effective tax rate by 11% during the year ended September 30,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Coronavirus Aid, Relief, and Economic Security Act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27, 2020, the U.S. government enacted the Coronavirus Aid, Relief, and Economic Security Act (“CARES Act”), which provides economic relief in response to the coronavirus pandemic. The CARES Act, among other things, includes provisions to allow certain net operating losses to be carried-back up to five years, to increase interest deduction limitations, accelerates the refunds of alternative minimum tax credits, and makes technical corrections to tax depreciation methods for qualified leasehold improvement property. The Company evaluated and properly accounted for the provisions of the CARES Act and there was no material impact to the Company’s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for the years ended September 30, 2020, 2019, and 2018 was allocated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attributable to income from operations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allocated to stockholders’ equity, related to pension liabilities</w:t>
            </w:r>
          </w:p>
        </w:tc>
        <w:tc>
          <w:tcPr>
            <w:tcW w:w="4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7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attributable to income from operations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federal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State and local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2"/>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7"/>
        </w:trPr>
        <w:tc>
          <w:tcPr>
            <w:tcW w:w="7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international components of income (loss) from operations, before tax,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91.6</w:t>
            </w:r>
          </w:p>
        </w:tc>
      </w:tr>
      <w:tr>
        <w:trPr>
          <w:trHeight w:val="237"/>
        </w:trPr>
        <w:tc>
          <w:tcPr>
            <w:tcW w:w="7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from operations,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accounting for the difference between income taxes computed at the federal statutory rate and income tax expense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rate effect of: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State and local income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earnings and losses taxed at different rates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foreign valuation allowance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state valuation allowance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permanent items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permanent items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bargain purchase gain</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Remeasurement of deferred tax</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Repatriation Transition tax</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GILTI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reconciling items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37"/>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Effective rate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0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net operating loss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State and local net operating loss carryforwards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federal net operating loss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Bad debt reserve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credit carryforwards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on securities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w:t>
            </w:r>
          </w:p>
        </w:tc>
        <w:tc>
          <w:tcPr>
            <w:tcW w:w="5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Pension liability</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84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2020 and September 30, 2019, the Company has net operating loss carryforwards for U.S. federal, state, local, and foreign income tax purposes of $6.9 million and $7.1 million, net of valuation allowances, respectively, which are available to offset future taxable income in these jurisdictions. The state and local net operating loss carryforwards of $4.7 million, net of valuation allowance, begin to expire after September 2022.</w:t>
      </w:r>
    </w:p>
    <w:p>
      <w:pPr>
        <w:spacing w:after="0" w:line="6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Company also has $0.6 million, net of valuation allowances, of federal net operating loss carryforwards, which consist of a portion that will expire in tax years ending 2031 through 2036. The remaining portion of the federal net operating loss carryforwards do not expire, but cannot be utilized until after 2037 and are limited by Internal Revenue Code (“IRC”) Section 382. As of September 30, 2020, Gain Capital UK Ltd. has a net operating loss carryforward of $0.9 million.</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Tax Reform, the AMT credit carryforward deferred tax asset was reclassified to income taxes receivable during the year ended September 30, 2018. As a result of the CARES Act, the AMT credit carryforward was 50% refundable during the year ending September 30, 2019 and the remaining 50% is refundable in the year ended September 30, 2020, to the extent it is not used to offset regular income tax liability. During the year ended September 30, 2018, the Company generated $5.1 million in foreign tax credit carryforwards as part of the mandatory repatriation transition tax. These credits are being fully utilized during the year ended September 30, 2020. The Company also has $1.3 million, net of valuation allowance, in foreign tax credits due to the merger with Gain, as further discussed in Note 21, which expire in 2023. In the judgment of management, the Company believes that sufficient taxable income will be earned to utilize the foreign tax credit carryforwards, net of valuation allowance, before they expire.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valuation allowance for deferred tax assets as of September 30, 2020 was $12.4 million. The net change in the total valuation allowance for the year ended September 30, 2020 was an increase of $3.9 million. Of this amount, $1.1 million was related to foreign tax credits acquired through the merger with Gain, which are limited by provision of IRC Section 383 and expire in 2023. The remaining increase is related to foreign and state net operating loss carryforwards. The valuation allowances as of September 30, 2020 and September 30, 2019 were primarily related to U.S. state and local and foreign net operating loss carryforwards that, in the judgment of management, are not more likely than not to be realized.</w:t>
      </w:r>
    </w:p>
    <w:p>
      <w:pPr>
        <w:spacing w:after="0" w:line="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 does not intend to distribute earnings of its foreign subsidiaries in a taxable manner, and therefore intends to limit distributions to earnings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previously taxed in the U.S., or earnings that would qualify for the 100 percent dividends received deduction, and earnings that would not result in any significant foreign taxes. The Company repatriated $30.0 million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$13.0 million during the years ended September 30, 2020 and September 30, 2019, respectively, of earnings previously taxed in the U.S. resulting in no significant incremental taxes. Therefore, the Company has not recognized a deferred tax liability on its investment in foreign subsidiaries.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had a de minimis balance of unrecognized tax benefits as of September 30, 2020, 2019, and 2018 that, if recognized, would affect the effective tax rate.</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Accrued interest and penalties are included in the related tax liability line in the consolidated balance sheets. The Company had no accrued interest and penalties included in the consolidated balance sheets as of September 30, 2020 and September 30, 2019.</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as a component of income tax expense. The Company had a de minimus amount of interest, net of federal benefit, and penalties recognized as a component of income tax expense during the years ended September 30, 2020, 2019, and 2018.</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jurisdiction and various U.S. state and local and foreign jurisdictions. The Company has open tax years ranging from September 30, 2012 through September 30, 2020 with U.S. federal and state and local taxing authorities. In the U.K., the Company has open tax years ending September 30, 2018 to September 30, 2020. In Brazil, the Company has open tax years ranging from December 31, 2015 through December 31, 2019. In Argentina, the Company has open tax years ranging from September 30, 2013 to September 30, 2020. In Singapore, the Company has open tax years ranging from September 30, 2016 to September 30,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operating results and cash flows of the acquired businesses from the dates of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 Fiscal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Capital Holdings, Inc.</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26, 2020, the Company entered into a definitive merger agreement to acquire Gain. The Company agreed to acquire Gain for $6.00 per share in an all-cash transaction. Gain is a global provider of trading services and solutions to institutional and retail investors, specializing in both OTC products and exchange-traded futures and options on futures. Gain provides its clients with access to a diverse range of global OTC financial markets, including spot foreign exchange, precious metals, and CFDs (where permitted). As a result of the acquisition, the Company added a new digital platform to its global financial network, significantly expanded its offerings to retail clients, as well as added a complementary exchange-traded futures and options on futures business. The acquisition of Gain is also expected to accelerate the digitization of the Company’s trading platforms.</w:t>
      </w:r>
    </w:p>
    <w:p>
      <w:pPr>
        <w:spacing w:after="0" w:line="7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merger closed on July 30, 2020 (“the Gain acquisition date”) subsequent to approval by Gain’s shareholders, approval by regulators, and the completion of customary closing conditions.</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the Gain acquisition date, each issued and outstanding share of Gain common stock (other than shares of Gain common stock held by those Gain stockholders who had properly demanded and not waived or withdrawn appraisal rights under Delaware law as further discussed below) automatically converted into the right to receive $6.00 per share in cash.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merger consideration was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cash consideration</w:t>
            </w: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18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Accrual for merger cash consideration</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0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merger consideration</w:t>
            </w: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to the Gain acquisition date, holders of 3.6 million shares of Gain common stock outstanding at the Gain acquisition date who did not vote to approve the merger (“Dissenting Holders”, and the shares held by such Dissenting Holders, the “Dissenting Shares”) purportedly demanded appraisal rights pursuant to Section 262 of the Delaware General Corporation Law in the Court of Chancery of the State of Delaware. The $21.6 million accrual for merger consideration included in the aggregate merger consideration was based upon 3.6 million Dissenting Shares assuming a right to receive $6.00 per share at the Gain acquisition date. Any subsequent settlement with the Dissenting Holders will be considered the settlement of a post-acquisition contingency to be included in the Company’s post-acquisition consolidated income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using the acquisition method of accounting under U.S. GAAP with the Company treated as the acquirer of Gain for accounting purposes. Under the acquisition method of accounting,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aggregate merger consideration was allocated to the assets acquired and liabilities assumed generally based on their fair value at the Gain acquisition date. The Company has made significant estimates and assumptions in determining the fair value of assets acquired and liabilities based upon discussions with management and informed insights into the industries in which Gain operates. These significant estimates and assumptions include, but are not limited to, projected cash flows of the acquired business, client attrition rates, discount rates, royalty rates, and economic lives of the identified assets.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engaged a third party valuation specialist to assist with assessing the overall reasonableness of the bargain purchase gain as further discussed below and determining the fair value of the net identifiable assets acquired.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as of the Gain acquisition date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Preliminary Purchase Price</w:t>
            </w:r>
          </w:p>
        </w:tc>
      </w:tr>
      <w:tr>
        <w:trPr>
          <w:trHeight w:val="189"/>
        </w:trPr>
        <w:tc>
          <w:tcPr>
            <w:tcW w:w="9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18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w:t>
            </w: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w:t>
            </w:r>
          </w:p>
        </w:tc>
      </w:tr>
      <w:tr>
        <w:trPr>
          <w:trHeight w:val="189"/>
        </w:trPr>
        <w:tc>
          <w:tcPr>
            <w:tcW w:w="9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Deposits with and receivables from broker-dealers, clearing organizations, and counterparties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r>
      <w:tr>
        <w:trPr>
          <w:trHeight w:val="189"/>
        </w:trPr>
        <w:tc>
          <w:tcPr>
            <w:tcW w:w="90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Receivables from clients, net </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net</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2"/>
        </w:trPr>
        <w:tc>
          <w:tcPr>
            <w:tcW w:w="9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fair value of tangible assets acquired</w:t>
            </w:r>
          </w:p>
        </w:tc>
        <w:tc>
          <w:tcPr>
            <w:tcW w:w="1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w:t>
            </w:r>
          </w:p>
        </w:tc>
      </w:tr>
      <w:tr>
        <w:trPr>
          <w:trHeight w:val="216"/>
        </w:trPr>
        <w:tc>
          <w:tcPr>
            <w:tcW w:w="9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clients</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863.4</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broker-dealers, clearing organizations, and counterparties</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9"/>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9"/>
        </w:trPr>
        <w:tc>
          <w:tcPr>
            <w:tcW w:w="9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Convertible senior notes </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r>
      <w:tr>
        <w:trPr>
          <w:trHeight w:val="182"/>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fair value of tangible liabilities assumed</w:t>
            </w: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1,036.0</w:t>
            </w:r>
          </w:p>
        </w:tc>
      </w:tr>
      <w:tr>
        <w:trPr>
          <w:trHeight w:val="183"/>
        </w:trPr>
        <w:tc>
          <w:tcPr>
            <w:tcW w:w="90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Fair value of tangible net assets acquired </w:t>
            </w:r>
            <w:r>
              <w:rPr>
                <w:rFonts w:ascii="Times New Roman" w:cs="Times New Roman" w:eastAsia="Times New Roman" w:hAnsi="Times New Roman"/>
                <w:sz w:val="18"/>
                <w:szCs w:val="18"/>
                <w:color w:val="auto"/>
                <w:vertAlign w:val="superscript"/>
              </w:rPr>
              <w:t>(4)</w:t>
            </w:r>
          </w:p>
        </w:tc>
        <w:tc>
          <w:tcPr>
            <w:tcW w:w="1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282.7</w:t>
            </w:r>
          </w:p>
        </w:tc>
      </w:tr>
      <w:tr>
        <w:trPr>
          <w:trHeight w:val="196"/>
        </w:trPr>
        <w:tc>
          <w:tcPr>
            <w:tcW w:w="9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Identifiable intangible assets acquired</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89"/>
        </w:trPr>
        <w:tc>
          <w:tcPr>
            <w:tcW w:w="90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Trademarks/domain names</w:t>
            </w:r>
            <w:r>
              <w:rPr>
                <w:rFonts w:ascii="Times New Roman" w:cs="Times New Roman" w:eastAsia="Times New Roman" w:hAnsi="Times New Roman"/>
                <w:sz w:val="18"/>
                <w:szCs w:val="18"/>
                <w:color w:val="auto"/>
                <w:vertAlign w:val="superscript"/>
              </w:rPr>
              <w:t>(5)</w:t>
            </w: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9"/>
        </w:trPr>
        <w:tc>
          <w:tcPr>
            <w:tcW w:w="9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Software programs/platforms</w:t>
            </w:r>
            <w:r>
              <w:rPr>
                <w:rFonts w:ascii="Times New Roman" w:cs="Times New Roman" w:eastAsia="Times New Roman" w:hAnsi="Times New Roman"/>
                <w:sz w:val="18"/>
                <w:szCs w:val="18"/>
                <w:color w:val="auto"/>
                <w:vertAlign w:val="superscript"/>
              </w:rPr>
              <w:t>(5)</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9"/>
        </w:trPr>
        <w:tc>
          <w:tcPr>
            <w:tcW w:w="900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Customer base</w:t>
            </w:r>
            <w:r>
              <w:rPr>
                <w:rFonts w:ascii="Times New Roman" w:cs="Times New Roman" w:eastAsia="Times New Roman" w:hAnsi="Times New Roman"/>
                <w:sz w:val="18"/>
                <w:szCs w:val="18"/>
                <w:color w:val="auto"/>
                <w:vertAlign w:val="superscript"/>
              </w:rPr>
              <w:t>(5)</w:t>
            </w: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3"/>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fair value of intangible assets acquired</w:t>
            </w:r>
          </w:p>
        </w:tc>
        <w:tc>
          <w:tcPr>
            <w:tcW w:w="1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2"/>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1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w:t>
            </w:r>
          </w:p>
        </w:tc>
      </w:t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merger consideration</w:t>
            </w:r>
          </w:p>
        </w:tc>
        <w:tc>
          <w:tcPr>
            <w:tcW w:w="1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r>
      <w:tr>
        <w:trPr>
          <w:trHeight w:val="183"/>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Bargain purchase gain</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20"/>
        </w:trPr>
        <w:tc>
          <w:tcPr>
            <w:tcW w:w="9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8"/>
        <w:spacing w:after="0" w:line="287" w:lineRule="auto"/>
        <w:tabs>
          <w:tab w:leader="none" w:pos="165"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the contractual amount of deposits with and receivables from broker-dealers, clearing organizations, and counterparties, all of which the Company expects to be collectible as of the Gain acquisition date.</w:t>
      </w:r>
    </w:p>
    <w:p>
      <w:pPr>
        <w:spacing w:after="0" w:line="44" w:lineRule="exact"/>
        <w:rPr>
          <w:rFonts w:ascii="Times New Roman" w:cs="Times New Roman" w:eastAsia="Times New Roman" w:hAnsi="Times New Roman"/>
          <w:sz w:val="20"/>
          <w:szCs w:val="20"/>
          <w:color w:val="auto"/>
          <w:vertAlign w:val="superscript"/>
        </w:rPr>
      </w:pPr>
    </w:p>
    <w:p>
      <w:pPr>
        <w:ind w:right="220" w:firstLine="8"/>
        <w:spacing w:after="0" w:line="287" w:lineRule="auto"/>
        <w:tabs>
          <w:tab w:leader="none" w:pos="165"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the contractual amount of receivables due from clients for trading activity, all of which the Company expects to be collectible as of the Gain acquisition date.</w:t>
      </w:r>
    </w:p>
    <w:p>
      <w:pPr>
        <w:spacing w:after="0" w:line="44" w:lineRule="exact"/>
        <w:rPr>
          <w:rFonts w:ascii="Times New Roman" w:cs="Times New Roman" w:eastAsia="Times New Roman" w:hAnsi="Times New Roman"/>
          <w:sz w:val="20"/>
          <w:szCs w:val="20"/>
          <w:color w:val="auto"/>
          <w:vertAlign w:val="superscript"/>
        </w:rPr>
      </w:pPr>
    </w:p>
    <w:p>
      <w:pPr>
        <w:ind w:right="40" w:firstLine="8"/>
        <w:spacing w:after="0" w:line="279" w:lineRule="auto"/>
        <w:tabs>
          <w:tab w:leader="none" w:pos="165"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As $91.5 million of the $92.0 million in aggregate principal of the Gain Notes were redeemed on September 1, 2020, the Company believes that the face value of the Gain Notes approximated their fair value as of the Gain acquisition date due to the fundamental change right provided for in the Gain Notes indenture. Refer to Note 12 for further discussion of the Gain Notes redemption.</w:t>
      </w:r>
    </w:p>
    <w:p>
      <w:pPr>
        <w:spacing w:after="0" w:line="60" w:lineRule="exact"/>
        <w:rPr>
          <w:rFonts w:ascii="Times New Roman" w:cs="Times New Roman" w:eastAsia="Times New Roman" w:hAnsi="Times New Roman"/>
          <w:sz w:val="20"/>
          <w:szCs w:val="20"/>
          <w:color w:val="auto"/>
          <w:vertAlign w:val="superscript"/>
        </w:rPr>
      </w:pPr>
    </w:p>
    <w:p>
      <w:pPr>
        <w:ind w:firstLine="8"/>
        <w:spacing w:after="0" w:line="279" w:lineRule="auto"/>
        <w:tabs>
          <w:tab w:leader="none" w:pos="165"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With the exception of deferred income taxes and the convertible senior notes, the Company believes that the fair value of the tangible assets acquired and tangible liabilities assumed approximate their carrying values as of the Gain acquisition date due either to their short-term nature, the Company’s ability to initiate the withdrawal and settlement of client related trading balances, or the fact that the balances are recorded at fair value on a recurring basis.</w:t>
      </w:r>
    </w:p>
    <w:p>
      <w:pPr>
        <w:spacing w:after="0" w:line="42"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trademark/domain names, software programs/platforms, and customer base intangible assets have been assigned useful lives of 5 years, 3 years, and</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4 years,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believes that the transaction resulted in a bargain purchase gain primarily due to the significant market volatility experienced during the first calendar quarter of 2020, primarily as a result of the COVID-19 pandemic. The market volatility experienced during 2020 through the Gain acquisition date increased significantly compared to corresponding historical periods. This resulted in Gain generating windfall profits and a corresponding increase in net tangible book value. The bargain purchase gain is included in ‘Gain on acquisitions and other gains’ on the Company’s consolidated income statement for the year ended September 30, 2020.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Post-Acquisition Results and Unaudited Pro Forma Information</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Gain’s results of operations and cash flows have been included in the Company’s consolidated financial statements for the period subsequent to July 31, 2020. For the year ended September 30, 2020, the Company’s results include total revenues and net income from Gain of $49.0 million and $1.8 million, respectively.</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(in millions, except per share amounts) has been adjusted to give effect to the Gain merger as if it were consummated on October 1,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Year Ended September 30, 2020</w:t>
            </w:r>
          </w:p>
        </w:tc>
        <w:tc>
          <w:tcPr>
            <w:tcW w:w="5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Year Ended September 30, 2019</w:t>
            </w: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54,414.1</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33,160.0</w:t>
            </w: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8"/>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bl>
    <w:p>
      <w:pPr>
        <w:spacing w:after="0" w:line="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includes material, nonrecurring pro forma adjustments directly attributable to the Gain acquisition primarily including the adjustment for a goodwill impairment loss, adjustment for the bargain purchase gain, adjustments to the amortization of intangible assets, and adjustments for direct and incremental acquisition-related costs and the related tax effects. The unaudited pro forma financial information does not include any revenue or cost saving synergies from operating efficiencies or the effect of incremental costs incurred from integrating the companies.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incurred costs related to the merger of $5.2 million for the year ended September 30, 2020, that are included within ‘Professional fees’ on the consolidated income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acquired has been assigned to the Company’s Retail and Institutional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UOB Bullion and Futures Limited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19, 2019, the Company’s subsidiary StoneX Financial Pte Ltd executed an asset purchase agreement to acquire the</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futures and options brokerage and clearing business of UOB Bullion and Futures Limited (“UOB”), a subsidiary of United Overseas Bank Limited. Closing was conditional upon receiving regulatory approval by the Monetary Authority of Singapore. This acquisition provides the Company access to an established institutional client base and also augments the Company’s global service capabilities in Singapore. The cash purchase price for the acquired assets was $5.0 million of which $2.5 million was due upon the execution of the asset purchase agreement and the remaining $2.5 million was due upon the closing of the acquisition, which occurred on October 7, 2019.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resulted in the recognition of liabilities assumed related to the futures and options on futures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account balances of approximately $351.8 million as of the acquisition date, which was recorded within ‘payables to</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clients’ on the consolidated balance sheet, and an equal and offsetting amount of assets acquired. The carrying amount of the client assets and related liabilities was assumed to approximate fair value due to their short-term nature, the Company’s ability to initiate the withdrawal and settlement of client related trading balances, and the fact that the open derivative positions are recorded at fair value on a recurring basis.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also acquired certain client base intangible assets and property and equipment in connection with the acquisition. The Company engaged a third-party valuation specialist to assist with the valuation of the acquired intangible assets and property and equipment. As of the acquisition date,</w:t>
      </w:r>
    </w:p>
    <w:p>
      <w:pPr>
        <w:ind w:right="100"/>
        <w:spacing w:after="0" w:line="253" w:lineRule="auto"/>
        <w:rPr>
          <w:sz w:val="20"/>
          <w:szCs w:val="20"/>
          <w:color w:val="auto"/>
        </w:rPr>
      </w:pPr>
      <w:r>
        <w:rPr>
          <w:rFonts w:ascii="Times New Roman" w:cs="Times New Roman" w:eastAsia="Times New Roman" w:hAnsi="Times New Roman"/>
          <w:sz w:val="18"/>
          <w:szCs w:val="18"/>
          <w:color w:val="auto"/>
        </w:rPr>
        <w:t>$0.8 million of the purchase price was allocated to the fair value of the property and equipment acquired and $3.1 million was allocated to the fair value of the client base intangible assets acquired. The remaining excess of the purchase price over the fair value of the net assets acquired of $1.1 million was allocated to goodwill. The Company believes the goodwill represents the synergies that can be realized from integrating the acquired business into its existing exchange-traded futures and option business. The allocation of the purchase price to the fair value of assets acquired and liabilities assumed is considered final as of September 30, 2020.</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business acquired has been assigned to the Company’s Institutional reportable segment. The client base intangible assets have been assigned a useful life of 5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UOB’s results of operations and cash flows have been included in the Company’s consolidated financial statements for the period subsequent to October 7, 2019. For the year ended September 30, 2020, the Company’s results include total revenues and net loss from UOB of $10.3 million and $1.4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Tellimer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the Company executed a definitive purchase agreement to acquire the brokerage businesses of Tellimer</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Group (“Tellimer”). This transaction involved the stock purchase of 100% of Exotix Partners, LLP, based in the United Kingdom, and the stock purchase of 100% of Tellimer Capital Ltd based in Nigeria. The closing of this transaction was subject to limited conditions including regulatory approval in the relevant jurisdictions. The cash purchase price was equal to the net tangible book value of the acquired entities upon closing.</w:t>
      </w:r>
    </w:p>
    <w:p>
      <w:pPr>
        <w:spacing w:after="0" w:line="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Regulatory approval for the acquisition of Exotix Partners, LLP, was obtained during the period with the acquisition closing on April 1, 2020. The cash purchase price for the acquisition of Exotix Partners, LLP, was $4.7 million. The final allocation of the cash purchase price to the fair value of assets acquired and liabilities assumed resulted in the recognition of $1.0 million in cash and cash equivalents, $1.0 million in receivables from clients, net, $0.3 million in property and equipment, net, $3.4 million in other assets, and $1.0 million in liabilities assumed.</w:t>
      </w:r>
    </w:p>
    <w:p>
      <w:pPr>
        <w:spacing w:after="0" w:line="7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Regulatory approval for the acquisition of Tellimer Capital Ltd was obtained during the period with the acquisition closing on June 1, 2020. The cash purchase price for the acquisition of Tellimer Capital Ltd and the related allocation to the fair value of assets acquired and liabilities assumed was not material to the Company’s consolidated financial statements.</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Tellimer’s results of operations and cash flows have been included in the Company’s consolidated financial statements from the dates of acquisition. For the year ended September 30, 2020, the Company’s results include total revenues and net loss from Tellimer of $5.9 million and less than $0.1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business have been assigned to the Company’s Institutional reportable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IFCM Commodities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 2020, the Company’s wholly owned subsidiary, INTL Netherlands B.V., executed and closed on a stock purchase agreement to acquire 100% of the equity interests of IFCM Commodities GmbH (“IFCM”) based in Germany. IFCM</w:t>
      </w:r>
    </w:p>
    <w:p>
      <w:pPr>
        <w:spacing w:after="0"/>
        <w:rPr>
          <w:sz w:val="20"/>
          <w:szCs w:val="20"/>
          <w:color w:val="auto"/>
        </w:rPr>
      </w:pPr>
      <w:r>
        <w:rPr>
          <w:rFonts w:ascii="Times New Roman" w:cs="Times New Roman" w:eastAsia="Times New Roman" w:hAnsi="Times New Roman"/>
          <w:sz w:val="18"/>
          <w:szCs w:val="18"/>
          <w:color w:val="auto"/>
        </w:rPr>
        <w:t>specializes in providing commodity price risk management solutions for base metals serving clients across Germany and</w:t>
      </w:r>
    </w:p>
    <w:p>
      <w:pPr>
        <w:spacing w:after="0" w:line="99" w:lineRule="exact"/>
        <w:rPr>
          <w:sz w:val="20"/>
          <w:szCs w:val="20"/>
          <w:color w:val="auto"/>
        </w:rPr>
      </w:pPr>
    </w:p>
    <w:p>
      <w:pPr>
        <w:jc w:val="both"/>
        <w:ind w:right="2120"/>
        <w:spacing w:after="0" w:line="266" w:lineRule="auto"/>
        <w:rPr>
          <w:sz w:val="20"/>
          <w:szCs w:val="20"/>
          <w:color w:val="auto"/>
        </w:rPr>
      </w:pPr>
      <w:r>
        <w:rPr>
          <w:rFonts w:ascii="Times New Roman" w:cs="Times New Roman" w:eastAsia="Times New Roman" w:hAnsi="Times New Roman"/>
          <w:sz w:val="18"/>
          <w:szCs w:val="18"/>
          <w:color w:val="auto"/>
        </w:rPr>
        <w:t>continental Europe and historically introduced clients to StoneX Financial Ltd. This purchase is part of the Company’s overall strategic plan to expand the Company’s footprint in Germany and continental Europe in order to handle European clients and regional metals business following Brexit.</w:t>
      </w:r>
    </w:p>
    <w:p>
      <w:pPr>
        <w:spacing w:after="0" w:line="68" w:lineRule="exact"/>
        <w:rPr>
          <w:sz w:val="20"/>
          <w:szCs w:val="20"/>
          <w:color w:val="auto"/>
        </w:rPr>
      </w:pPr>
    </w:p>
    <w:p>
      <w:pPr>
        <w:ind w:right="2060"/>
        <w:spacing w:after="0" w:line="261" w:lineRule="auto"/>
        <w:rPr>
          <w:sz w:val="20"/>
          <w:szCs w:val="20"/>
          <w:color w:val="auto"/>
        </w:rPr>
      </w:pPr>
      <w:r>
        <w:rPr>
          <w:rFonts w:ascii="Times New Roman" w:cs="Times New Roman" w:eastAsia="Times New Roman" w:hAnsi="Times New Roman"/>
          <w:sz w:val="18"/>
          <w:szCs w:val="18"/>
          <w:color w:val="auto"/>
        </w:rPr>
        <w:t>The cash purchase price of $1.9 million was equal to net tangible book value upon closing plus a premium of $1.0 million. The excess of the cash consideration over the fair value of the net tangible assets acquired on the closing date was allocated to the fair value of IFCM’s client relationships. This client base intangible asset has been assigned, and will be amortized over, a useful of five years.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IFCM’s results of operations and cash flows have been included in the Company’s consolidated financial statements for the period subsequent to January 2, 2020. For the year ended September 30, 2020, the Company’s results include total revenues and net income from IFCM of $1.8 million and $0.5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GIROXX</w:t>
      </w:r>
    </w:p>
    <w:p>
      <w:pPr>
        <w:spacing w:after="0" w:line="121" w:lineRule="exact"/>
        <w:rPr>
          <w:sz w:val="20"/>
          <w:szCs w:val="20"/>
          <w:color w:val="auto"/>
        </w:rPr>
      </w:pPr>
    </w:p>
    <w:p>
      <w:pPr>
        <w:ind w:right="2020"/>
        <w:spacing w:after="0" w:line="270" w:lineRule="auto"/>
        <w:rPr>
          <w:sz w:val="20"/>
          <w:szCs w:val="20"/>
          <w:color w:val="auto"/>
        </w:rPr>
      </w:pPr>
      <w:r>
        <w:rPr>
          <w:rFonts w:ascii="Times New Roman" w:cs="Times New Roman" w:eastAsia="Times New Roman" w:hAnsi="Times New Roman"/>
          <w:sz w:val="17"/>
          <w:szCs w:val="17"/>
          <w:color w:val="auto"/>
        </w:rPr>
        <w:t>In January 2020, the Company’s wholly owned subsidiary, StoneX Financial Ltd, executed a stock purchase agreement to acquire 100% of GIROXX based in Germany. Through its digital platform, GIROXX provides online payment and foreign exchange hedging services to small and medium sized enterprises in Germany, Austria, and Switzerland. The Company offers a wide range of financial services including advisory and execution services in commodities, which will be offered to GIROXX’s</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institutional client base. This purchase completes a series of acquisitions and restructurings to ensure that all clients of the Company are secure with their continuity of service and market access following Brexit. The closing of the transaction was conditional upon the approval of financial services regulators in Germany, which was obtained during the period with the transaction closing on May 1, 2020.</w:t>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cash purchase price for the acquisition of GIROXX was $4.4 million. The preliminary allocation of the cash purchase price to the fair value of tangible assets acquired and liabilities assumed resulted in the recognition of cash and cash equivalents of $6.5 million, property and equipment of $0.1 million, accounts payables and other accrued liabilities of $0.6 million, and payables to clients of $5.8 million as of the acquisition date.</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acquired certain identifiable intangible assets in connection with the acquisition of GIROXX, primarily related to a business license permitting the Company to facilitate payment transactions in the European Union and certain proprietary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developed software. The Company has preliminarily allocated $0.4 million and $1.5 million of the excess purchase price over net tangible assets acquired to the business license and proprietary developed software, respectively. The remaining excess purchase price over the net tangible assets acquired of $2.3 million has preliminary been allocated to goodwill. The Company believes the preliminary allocation to goodwill represents the synergies that can be realized from integrating the acquired business into its existing Global Payments reportable segment.</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gathering the information necessary to complete a valuation analysis of the intangible assets acquired. Once the valuation analysis is complete, the Company will record measurement period adjustments to reflect the final determination of the fair value of the identifiable intangible assets acquired with any remaining excess consideration allocated to goodwill.</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acquired business license has been assigned an indefinite life and the proprietary developed software has been preliminarily assigned a useful life of 3 years.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GIROXX’s results of operations and cash flows have been included in the Company’s consolidated financial statements for the period subsequent to May 1, 2020. For the year ended September 30, 2020, the Company’s results include total revenues and net loss from GIROXX of $0.5 million and $0.6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business has been assigned to the Company’s Global Payments reportable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 Capital</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2019, the Company’s subsidiary, SA Stone Wealth Management, executed an asset purchase agreement to acquire certain client accounts of Quest Capital Strategies, Inc. The asset purchase agreement was subject to FINRA approval and other conditions to closing. FINRA approval was obtained and the other conditions to closing were fulfilled and the closing of the transaction occurred on December 9, 2019. The cash purchase price for the acquired client accounts was equal to $1.7 million. This transaction was accounted for as an asset acquisition at cost. The cash purchase price was allocated to the fair value of the client lists and relationships obtained and has been assigned, and will be amortized, over a useful life of seven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 Fiscal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Carl Kliem S.A.</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November 30, 2018, the Company acquired the entire issued and outstanding share capital of Carl Kliem S.A., an independent interdealer broker based in Luxembourg, which provides foreign exchange, interest rate and fixed income products to institutional clients across the European Union (“E.U.”). Carl Kliem S.A. employs approximately 40 people and has more than 400 active institutional clients. This acquisition provides the Company with access to additional European institutional clients that can benefit from the Company’s full suite of financial services and a E.U.-based entity in anticipation of the U.K.’s planned exit from the E.U. The purchase price was $2.1 million of cash consideration, and was equal to the net tangible book value on the closing date less restructuring costs. The Company subsequently renamed Carl Kliem S.A. to StoneX Financial Europe S.A.</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final purchase price allocation resulted in cash and cash equivalents of $1.7 million, receivables from clients of $1.1 million, property and equipment of $0.1 million, income tax receivables of $0.1 million, accounts payable and other accrued liabilities of $0.6 million, and payable to broker-dealers, clearing organizations, and counterparties of $0.2 million. The net fair value of the assets acquired exceeded the aggregate cash purchase price; accordingly, the Company recorded a bargain purchase gain of $0.1 million during the year ended September 30, 2019, which is presented within ‘Gain on acquisitions and other gains’ in the consolidated income statement.</w:t>
      </w:r>
    </w:p>
    <w:p>
      <w:pPr>
        <w:spacing w:after="0" w:line="75"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The business activities of INTL FCStone Europe S.A. have been included within the Company’s Institutional reportable segment. The Company’s consolidated income statement for the year ended September 30, 2019 includes operating revenues and a net loss of $4.2 million and $2.3 million, respectively, for the post-acquisition results of the acquired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GMP Securities LLC</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14, 2019 the Company acquired 100% of the U.S.-based broker-dealer GMP Securities LLC (“GMP”), formerly known as Miller Tabak Securities, LLC, an independent, SEC-registered broker-dealer and Financial Industry Regulatory Authority, Inc. (“FINRA”) member. GMP has an institutional fixed-income trading business which deals in high yield, convertible and emerging market debt and makes markets in certain equity securities. This transaction also involved the purchase of GMP’s U.S.-based parent. This acquisition allows the Company to expand its fixed income product offerings to clients and adds new institutional clients who can benefit from the Company’s full suite of financial services.</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purchase price was $8.2 million of cash consideration was equal to the final net tangible book value determined as of the acquisition date less $2.0 million. The net fair value of the assets acquired exceeded the aggregate cash purchase price,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accordingly the Company recorded a bargain purchase gain of $5.4 million during the year ended September 30, 2019, which is presented within ‘Gain on acquisitions and other gains’ in the consolidated income statement. The Company believes the transaction resulted in a bargain purchase gain due to the Company’s ability to incorporate GMP’s business activities into its existing business structure, and its ability to utilize certain deferred tax assets, including net operating loss carryforwards, and other assets while operating the business that may not have been likely to be realized by the seller nor was contemplated in the purchase price.</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 2019, GMP was merged into the Company’s wholly owned regulated U.S. subsidiary, StoneX Financial. The Company’s consolidated income statement includes the post-acquisition results, which include operating revenues and a net loss before tax of $8.2 million and $2.1 million, respectively, for the year ended September 30, 2019. The acquired businesses are included within the Company’s Institutional reportable segment.</w:t>
      </w:r>
    </w:p>
    <w:p>
      <w:pPr>
        <w:spacing w:after="0" w:line="6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represents the final allocation of the purchase price to the fair value of identifiable assets acquired and liabilities assumed as of the acquisition date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8"/>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90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Deposits with and receivables from broker-dealers, clearing organizations, and counterparties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9"/>
        </w:trPr>
        <w:tc>
          <w:tcPr>
            <w:tcW w:w="9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Financial instruments owned, at fair value </w:t>
            </w:r>
            <w:r>
              <w:rPr>
                <w:rFonts w:ascii="Times New Roman" w:cs="Times New Roman" w:eastAsia="Times New Roman" w:hAnsi="Times New Roman"/>
                <w:sz w:val="18"/>
                <w:szCs w:val="18"/>
                <w:color w:val="auto"/>
                <w:vertAlign w:val="superscript"/>
              </w:rPr>
              <w:t>(2)</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9"/>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3"/>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fair value of assets acquired</w:t>
            </w: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70"/>
        </w:trPr>
        <w:tc>
          <w:tcPr>
            <w:tcW w:w="9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9"/>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broker-dealers, clearing organizations, and counterparties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9"/>
        </w:trPr>
        <w:tc>
          <w:tcPr>
            <w:tcW w:w="9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Financial instruments sold, not yet purchased, at fair value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2"/>
        </w:trPr>
        <w:tc>
          <w:tcPr>
            <w:tcW w:w="9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fair value of liabilities assumed</w:t>
            </w: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net assets acquired</w:t>
            </w: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 price</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Bargain purchase gain</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represents the contractual amount of deposits and receivables due from the clearing organization for trading activity as of the acquisition date.</w:t>
      </w:r>
    </w:p>
    <w:p>
      <w:pPr>
        <w:spacing w:after="0" w:line="143" w:lineRule="exact"/>
        <w:rPr>
          <w:rFonts w:ascii="Times New Roman" w:cs="Times New Roman" w:eastAsia="Times New Roman" w:hAnsi="Times New Roman"/>
          <w:sz w:val="22"/>
          <w:szCs w:val="22"/>
          <w:color w:val="auto"/>
          <w:vertAlign w:val="superscript"/>
        </w:rPr>
      </w:pPr>
    </w:p>
    <w:p>
      <w:pPr>
        <w:jc w:val="both"/>
        <w:ind w:right="440" w:firstLine="8"/>
        <w:spacing w:after="0" w:line="279" w:lineRule="auto"/>
        <w:tabs>
          <w:tab w:leader="none" w:pos="165"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Financial instruments owned and sold, not yet purchased, at fair value primarily includes equity securities and high yield, convertible and emerging market fixed income securities. Equity securities have been included within Level 1 of the fair value hierarchy and fixed income securities have been included in Level 2 of the fair value hierarchy as disclosed in Note 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Coininvest GmbH and European Precious Metal Trading GmbH</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On April 1, 2019, the Company’s subsidiary StoneX (Netherlands) B.V. acquired 100% of the outstanding shares of Coininvest GmbH and European Precious Metal Trading GmbH. Through the websites coininvest.com and silver-to-go.com, Coininvest GmbH and European Precious Metal Trading GmbH are leading European online providers of gold, silver, platinum, and palladium products to retail investors, institutional investors, and financial advisors. The addition of Coininvest GmbH and European Precious Metal Trading GmbH to the Company’s global product suite expands its offering, providing clients the ability to purchase physical gold and other precious metals, in multiple forms, and in denominations of their choice, to add to their investment portfolios.</w:t>
      </w:r>
    </w:p>
    <w:p>
      <w:pPr>
        <w:spacing w:after="0" w:line="79"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The purchase price consisted of cash consideration of $22.0 million, including $11.2 million for the purchase of shareholders loans outstanding with the acquired entities. The cash consideration transferred exceeded the final fair value of the tangible net assets acquired on the closing date by $6.8 million.</w:t>
      </w:r>
    </w:p>
    <w:p>
      <w:pPr>
        <w:spacing w:after="0" w:line="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acquired certain identifiable intangible assets, including website domain names and internally developed software. The Company has engaged a third-party valuation specialist to assist with the valuation of these acquired intangible assets. Based upon the final valuation analysis, the Company allocated $2.1 million and $2.5 million of the excess consideration over the final fair value of tangible net assets acquired on the closing date to the identifiable domain names and internally developed software, respectively. The remaining excess of $2.2 million was allocated to goodwill. The goodwill represents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synergies expected to be achieved by combining the acquired business with the Company’s existing precious metals offering and the acquired assembled workforce.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internally developed software was assigned to the Retail reportable segment and is being amortized over a useful life of 5 years. The useful life of the domain names was determined to be indefinite.</w:t>
      </w:r>
    </w:p>
    <w:p>
      <w:pPr>
        <w:spacing w:after="0" w:line="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Company’s consolidated income statement includes the post-acquisition results, including operating revenues and a net loss before tax of $0.6 million and $0.3 million, respectively, for the year ended September 30, 2019. Operating revenues during the year ended September 30, 2019 include unrealized losses on derivatives held to manage the downside price risk of physical commodities inventory, which is valued at the lower of cost or net realizable value; therefore, inventory was not recorded above its cost basis. The acquired businesses are included within the Company’s Commercial reportable segment.</w:t>
      </w:r>
    </w:p>
    <w:p>
      <w:pPr>
        <w:spacing w:after="0" w:line="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represents the final allocation of the purchase price to the fair value of identifiable assets acquired and liabilities assumed as of the acquisition date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8"/>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r>
      <w:tr>
        <w:trPr>
          <w:trHeight w:val="189"/>
        </w:trPr>
        <w:tc>
          <w:tcPr>
            <w:tcW w:w="89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Receivables from clients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from affiliate</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Physical commodities inventory</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r>
      <w:tr>
        <w:trPr>
          <w:trHeight w:val="182"/>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fair value of tangible assets acquired</w:t>
            </w:r>
          </w:p>
        </w:tc>
        <w:tc>
          <w:tcPr>
            <w:tcW w:w="420" w:type="dxa"/>
            <w:vAlign w:val="bottom"/>
          </w:tcPr>
          <w:p>
            <w:pPr>
              <w:spacing w:after="0"/>
              <w:rPr>
                <w:sz w:val="15"/>
                <w:szCs w:val="15"/>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r>
      <w:tr>
        <w:trPr>
          <w:trHeight w:val="270"/>
        </w:trPr>
        <w:tc>
          <w:tcPr>
            <w:tcW w:w="8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to clients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82"/>
        </w:trPr>
        <w:tc>
          <w:tcPr>
            <w:tcW w:w="8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fair value of tangible liabilities assumed</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r>
      <w:tr>
        <w:trPr>
          <w:trHeight w:val="18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net tangible assets acquired</w:t>
            </w: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r>
      <w:tr>
        <w:trPr>
          <w:trHeight w:val="18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 price</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r>
      <w:tr>
        <w:trPr>
          <w:trHeight w:val="20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purchase price over fair value of tangible net assets acquired</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purchase price over fair value of tangible net assets acquired allocated to identifiable intangible assets:</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 names</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r>
      <w:tr>
        <w:trPr>
          <w:trHeight w:val="182"/>
        </w:trPr>
        <w:tc>
          <w:tcPr>
            <w:tcW w:w="8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excess purchase price allocated to identifiable intangible assets</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r>
      <w:tr>
        <w:trPr>
          <w:trHeight w:val="250"/>
        </w:trPr>
        <w:tc>
          <w:tcPr>
            <w:tcW w:w="8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Remaining excess allocated to goodwill</w:t>
            </w: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represents the contractual amount of receivables due from clients for trading activity, all of which was collected.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Fillmore Advisors, LLC</w:t>
      </w:r>
    </w:p>
    <w:p>
      <w:pPr>
        <w:spacing w:after="0" w:line="12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September 1, 2019, the Company acquired 100% of the U.S.-based trading firm Fillmore Advisors, LLC (“Fillmore”). Fillmore is an independent, SEC-registered broker-dealer firm and FINRA member firm and a leading provider of outsourced trading solutions and operational consulting to institutional asset managers. The firm, headquartered in Park City, Utah, is composed of traders that specialize in global buy-side and sell-side experience. Institutional clients can benefit from Fillmore’s comprehensive product coverage offering for equities, equity-linked, foreign exchange, credit, rates, and commodities. Fillmore will become an extension of the newly established prime brokerage division of the Company’s Institutional reportable segment.</w:t>
      </w:r>
    </w:p>
    <w:p>
      <w:pPr>
        <w:spacing w:after="0" w:line="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purchase price consists of $1.4 million of cash consideration and also includes a contingent earn-out with payments over the eight quarters following the acquisition. The contingent earn-out payments are variable in nature and equal to 50% of Segment Income, as defined in the SPA, for each quarterly period. The fair value of the contingent consideration was estimated at $1.8 million as of the closing date. See Note 5 for fair value measurement considerations.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acquired certain identifiable intangible assets related to Fillmore’s client base. Based upon the final valuation analysis, the Company has allocated $0.7 million of the excess consideration over the final fair value of tangible net assets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acquired on the closing date to this intangible asset. The remaining excess of $1.9 million was allocated to goodwill. The goodwill represents the synergies expected to be achieved by combining the acquired business with the Company’s existing prime brokerage offering and the acquired assembled workforce.</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client base intangible asset and goodwill were assigned to the Institutional reportable segment. The client base intangible asset will be amortized over a useful life of 5 years.</w:t>
      </w:r>
    </w:p>
    <w:p>
      <w:pPr>
        <w:spacing w:after="0" w:line="5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represents the final allocation of the purchase price to the fair value of identifiable assets acquired and liabilities assumed as of the acquisition date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8"/>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8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Receivables from clients, net </w:t>
            </w:r>
            <w:r>
              <w:rPr>
                <w:rFonts w:ascii="Times New Roman" w:cs="Times New Roman" w:eastAsia="Times New Roman" w:hAnsi="Times New Roman"/>
                <w:sz w:val="18"/>
                <w:szCs w:val="18"/>
                <w:color w:val="auto"/>
                <w:vertAlign w:val="superscript"/>
              </w:rPr>
              <w:t>(1)</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r>
      <w:tr>
        <w:trPr>
          <w:trHeight w:val="183"/>
        </w:trPr>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fair value of tangible assets acquired</w:t>
            </w: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r>
      <w:tr>
        <w:trPr>
          <w:trHeight w:val="182"/>
        </w:trPr>
        <w:tc>
          <w:tcPr>
            <w:tcW w:w="8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fair value of tangible liabilities assumed</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r>
      <w:tr>
        <w:trPr>
          <w:trHeight w:val="18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net tangible assets acquired</w:t>
            </w: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r>
      <w:tr>
        <w:trPr>
          <w:trHeight w:val="189"/>
        </w:trPr>
        <w:tc>
          <w:tcPr>
            <w:tcW w:w="898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Purchase price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r>
      <w:tr>
        <w:trPr>
          <w:trHeight w:val="20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purchase price over fair value of tangible net assets acquired</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purchase price over fair value of tangible net assets acquired allocated to identifiable intangible assets:</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Client relationships</w:t>
            </w: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r>
      <w:tr>
        <w:trPr>
          <w:trHeight w:val="18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excess purchase price allocated to identifiable intangible assets</w:t>
            </w:r>
          </w:p>
        </w:tc>
        <w:tc>
          <w:tcPr>
            <w:tcW w:w="42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8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excess allocated to goodwill</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represents the contractual amount of receivables due from clients for trading activity, all of which was collected.</w:t>
      </w:r>
    </w:p>
    <w:p>
      <w:pPr>
        <w:spacing w:after="0" w:line="5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fair value of contingent consideration of $1.8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 Fiscal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PayCommerce Financial Solutions, LLC</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5, 2018, the Company acquired all of the outstanding membership interests of PayCommerce Financial Solutions, LLC (“PCFS”). Subsequent to the acquisition, the Company renamed PCFS to INTL Technology Services, LLC (“ITS”). ITS is a fully accredited Society for Worldwide Interbank Financial Telecommunication (“SWIFT”) Service Bureau provider. This acquisition enables the Company to act as a SWIFT Service Bureau for its 300-plus correspondent banking network, thus providing another important service for delivering local currency, cross-border payments to the developing world.</w:t>
      </w:r>
    </w:p>
    <w:p>
      <w:pPr>
        <w:spacing w:after="0" w:line="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purchase price was approximately $3.8 million of cash consideration. The final purchase price allocation resulted in $0.7 million in receivables, $0.8 million in property, plant, and equipment, a $0.5 million equity investment related to a minority interest in the joint venture entity Akshay Financeware, Inc., and $2.2 million in liabilities assumed. Additionally, the Company acquired identifiable, definite-lived client relationship and client list assets that have been assigned a fair value of $1.3 million and a useful life of 5 years. The fair value of the consideration transferred exceeded the final fair value of identifiable assets acquired and liabilities assumed. The excess of the purchase consideration over the final fair value of net tangible and identifiable intangible assets acquired of $2.6 million was recorded as goodwill as of September 30, 2018.</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13, 2019, the Company paid $0.2 million to acquire the majority interest in Akshay Financeware, Inc. The acquisition of the majority interest in Akshay Financeware, Inc. was accounted for as a step acquisition. As a result, the Company changed the classification and measurement of the</w:t>
      </w:r>
    </w:p>
    <w:p>
      <w:pPr>
        <w:ind w:right="120"/>
        <w:spacing w:after="0" w:line="253" w:lineRule="auto"/>
        <w:rPr>
          <w:sz w:val="20"/>
          <w:szCs w:val="20"/>
          <w:color w:val="auto"/>
        </w:rPr>
      </w:pPr>
      <w:r>
        <w:rPr>
          <w:rFonts w:ascii="Times New Roman" w:cs="Times New Roman" w:eastAsia="Times New Roman" w:hAnsi="Times New Roman"/>
          <w:sz w:val="18"/>
          <w:szCs w:val="18"/>
          <w:color w:val="auto"/>
        </w:rPr>
        <w:t>$0.5 million previously held equity interest and recognized all identifiable assets and liabilities of the wholly-owned entity at fair value. The Company recorded $2.7 million of indefinite-lived intangible assets related to SWIFT licenses held by the acquired entity and an associated deferred tax liability of $0.7 million. Additionally, the Company recorded a measurement period adjustment to goodwill of $1.3 million. As of September 30, 2019, the Company had recorded goodwill of $1.3 million related to the acquisition of PCFS and the step acquisition of Akshay Financeware, Inc.</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Management believes that the goodwill represents the synergies expected from the incremental revenue that can be realized from combining the technologies acquired with the Company’s pre-existing correspondent banking network. This business has been included within the Company’s Global Payments Segment. The Company’s consolidated income statement for the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80"/>
        <w:spacing w:after="0" w:line="406" w:lineRule="auto"/>
        <w:rPr>
          <w:sz w:val="20"/>
          <w:szCs w:val="20"/>
          <w:color w:val="auto"/>
        </w:rPr>
      </w:pPr>
      <w:r>
        <w:rPr>
          <w:rFonts w:ascii="Times New Roman" w:cs="Times New Roman" w:eastAsia="Times New Roman" w:hAnsi="Times New Roman"/>
          <w:sz w:val="18"/>
          <w:szCs w:val="18"/>
          <w:color w:val="auto"/>
        </w:rPr>
        <w:t xml:space="preserve">ended September 30, 2018 includes the post-acquisition results of ITS, which was immaterial in relation to the Company’s consolidated results. </w:t>
      </w:r>
      <w:r>
        <w:rPr>
          <w:rFonts w:ascii="Times New Roman" w:cs="Times New Roman" w:eastAsia="Times New Roman" w:hAnsi="Times New Roman"/>
          <w:sz w:val="18"/>
          <w:szCs w:val="18"/>
          <w:b w:val="1"/>
          <w:bCs w:val="1"/>
          <w:color w:val="auto"/>
        </w:rPr>
        <w:t>Note 22 – Accumulated Other Comprehensive (Loss) Income</w:t>
      </w:r>
    </w:p>
    <w:p>
      <w:pPr>
        <w:spacing w:after="0" w:line="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Comprehensive income consists of net income and other gains and losses affecting stockholders’ equity that, under U.S. GAAP, are excluded from net income. Other comprehensive loss includes net actuarial losses from defined benefit pension plans and losses on foreign currency translations.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for the year ended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3"/>
                <w:szCs w:val="13"/>
                <w:color w:val="auto"/>
              </w:rPr>
            </w:pP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8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2019</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w w:val="96"/>
              </w:rPr>
              <w:t>(3.3)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ASU 2018-02 cumulative transition adjustment</w:t>
            </w:r>
          </w:p>
        </w:tc>
        <w:tc>
          <w:tcPr>
            <w:tcW w:w="14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6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w w:val="96"/>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Balances as of September 30, 2019</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w w:val="96"/>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82"/>
        </w:trPr>
        <w:tc>
          <w:tcPr>
            <w:tcW w:w="6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w w:val="96"/>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 of tax</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2"/>
        </w:trPr>
        <w:tc>
          <w:tcPr>
            <w:tcW w:w="6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left="948"/>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2020</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w w:val="96"/>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Segment and Geographic Information</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completed its acquisition of Gain Capital Group Inc. (“Gain”), which it views as a significant acquisition and which triggered a reassessment of the financial information reviewed by its executive management team, which is considered our Chief Operating Decision Maker, on a regular basis, and which is used to make resource allocation decisions. The acquisition of Gain added a significant amount of incremental business from a new client type – retail. Prior to the acquisition, Gain was a publicly traded corporation in the United States, and reported its performance along two reportable segments: retail and futures, in its periodic reporting with the SEC. The Company has existing businesses with activities similar to Gain’s futures business. Gain’s retail business however, represents a fundamental change in the Company’s business strategy.</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light of this fundamental change and reassessment described above, the Company has modified the operating segments it uses to evaluate its performance. Accordingly, its operating segments are now based primarily on the nature of the clients we serve (commercial, institutional, and retail), and a fourth operating segment, its global payments business. The Company manages its business in this manner due to its large global footprint, in which it has more than 2,900 employees allowing it to serve clients in more than 180 countries.</w:t>
      </w:r>
    </w:p>
    <w:p>
      <w:pPr>
        <w:spacing w:after="0" w:line="7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Following the acquisition of Gain, the Company’s business activities are managed as operating segments and organized into reportable segments as follows:</w:t>
      </w:r>
    </w:p>
    <w:p>
      <w:pPr>
        <w:spacing w:after="0" w:line="5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Payments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segment information has been revised to reflect the operating segment reorganization retroactive to October 1, 2017.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offers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The ability to provide these high-value-added products and services, differentiates the Company from its competitors and maximizes the opportunity to retain clients.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the Company originates, structures and place debt instruments in the international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20"/>
        <w:spacing w:after="0" w:line="375" w:lineRule="auto"/>
        <w:rPr>
          <w:sz w:val="20"/>
          <w:szCs w:val="20"/>
          <w:color w:val="auto"/>
        </w:rPr>
      </w:pPr>
      <w:r>
        <w:rPr>
          <w:rFonts w:ascii="Times New Roman" w:cs="Times New Roman" w:eastAsia="Times New Roman" w:hAnsi="Times New Roman"/>
          <w:sz w:val="18"/>
          <w:szCs w:val="18"/>
          <w:color w:val="auto"/>
        </w:rPr>
        <w:t xml:space="preserve">domestic capital markets. These instruments include asset-backed securities (primarily in Argentina) and domestic municipal securities. </w:t>
      </w:r>
      <w:r>
        <w:rPr>
          <w:rFonts w:ascii="Times New Roman" w:cs="Times New Roman" w:eastAsia="Times New Roman" w:hAnsi="Times New Roman"/>
          <w:sz w:val="18"/>
          <w:szCs w:val="18"/>
          <w:b w:val="1"/>
          <w:bCs w:val="1"/>
          <w:i w:val="1"/>
          <w:iCs w:val="1"/>
          <w:color w:val="auto"/>
        </w:rPr>
        <w:t>Retail</w:t>
      </w:r>
    </w:p>
    <w:p>
      <w:pPr>
        <w:spacing w:after="0" w:line="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The Company provides retail clients around the world access to over 15,000 global financial markets, including spot foreign exchange ("forex"), both financial trading and physical investment in precious metals, as well as contracts for difference (“CFDs”), which are investment products with returns linked to the performance of underlying assets. In addition, its independent wealth management business offers a comprehensive product suite to retail investors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Payments</w:t>
      </w:r>
    </w:p>
    <w:p>
      <w:pPr>
        <w:spacing w:after="0" w:line="12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The Company provides customized foreign exchange and treasury services to banks and commercial businesses as well as charities and non-governmental organizations and government organizations. The Company provides transparent pricing and offers payments services in more than 170 countries and 140 currencies, which it believes is more than any other payments solution provider.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‘operating revenues’, which is shown on the face of the consolidated income statements and which is calculated by deducting physical commodities cost of sales from total revenues.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consultants/traders generally represents a fixed percentage of revenues generated, and in some cases, revenues generated less transaction-based clearing expenses, base salaries and an overhead allocation.</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Inter-segment revenues, expenses, receivables and payables are eliminated upon consolidation, except revenues and expenses related to foreign currency transactions undertaken on an arm’s length basis by the foreign exchange trading business for the securities business. The foreign exchange trading business competes for this business as it does any other business. If its rates are not competitive, the securities businesses buy or sell their foreign currency through other market participants.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revenues, operating revenues and net operating revenues shown as “Corporate Unallocated” primarily consist of interest income from its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 however, this practice may impact reported total assets between segments.</w:t>
      </w:r>
    </w:p>
    <w:p>
      <w:pPr>
        <w:spacing w:after="0" w:line="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Net costs not allocated to operating segments include costs and expenses of certain shared services such as information technology, accounting and treasury, credit and risk, legal and compliance, and human resources and other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the reportable segments is shown in accordance with the Segment Reporting Topic of the ASC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52,970.1</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32,125.4</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27,018.7</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2"/>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54,139.6</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32,897.0</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27,622.7</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Operating revenues: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2"/>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Net operating revenues (loss):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8"/>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(Revenues less cost of sales of physical commodities, transaction-based clearing expenses, variable compensation,</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introducing broker commissions and interest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82"/>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Segment income (loss):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contribution less non-variable direct segment costs)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4"/>
                <w:szCs w:val="14"/>
                <w:color w:val="auto"/>
              </w:rPr>
              <w:t xml:space="preserve">Commercial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5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89"/>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208"/>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segment income to income before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Segment income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5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0" w:type="dxa"/>
            <w:vAlign w:val="bottom"/>
          </w:tcPr>
          <w:p>
            <w:pPr>
              <w:spacing w:after="0"/>
              <w:rPr>
                <w:sz w:val="1"/>
                <w:szCs w:val="1"/>
                <w:color w:val="auto"/>
              </w:rPr>
            </w:pPr>
          </w:p>
        </w:tc>
      </w:tr>
      <w:tr>
        <w:trPr>
          <w:trHeight w:val="189"/>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costs not allocated to operating segments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acquisitions and other gains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2"/>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before tax</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60" w:firstLine="8"/>
        <w:spacing w:after="0" w:line="251" w:lineRule="auto"/>
        <w:tabs>
          <w:tab w:leader="none" w:pos="181"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fiscal 2019, the Company recorded recoveries on the bad debt on physical coal of $12.4 million. During fiscal 2018, the Company recorded charges to earnings of $1.0 million to record an allowance for doubtful accounts related to a bad debt incurred in the physical coal business with a coal supplier, as further discussed in Note 19.</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80" w:type="dxa"/>
            <w:vAlign w:val="bottom"/>
          </w:tcPr>
          <w:p>
            <w:pPr>
              <w:spacing w:after="0"/>
              <w:rPr>
                <w:sz w:val="13"/>
                <w:szCs w:val="1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0" w:type="dxa"/>
            <w:vAlign w:val="bottom"/>
          </w:tcPr>
          <w:p>
            <w:pPr>
              <w:spacing w:after="0"/>
              <w:rPr>
                <w:sz w:val="1"/>
                <w:szCs w:val="1"/>
                <w:color w:val="auto"/>
              </w:rPr>
            </w:pPr>
          </w:p>
        </w:tc>
      </w:tr>
      <w:tr>
        <w:trPr>
          <w:trHeight w:val="16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2,349.5</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Institutional</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5,168.1</w:t>
            </w:r>
          </w:p>
        </w:tc>
        <w:tc>
          <w:tcPr>
            <w:tcW w:w="0" w:type="dxa"/>
            <w:vAlign w:val="bottom"/>
          </w:tcPr>
          <w:p>
            <w:pPr>
              <w:spacing w:after="0"/>
              <w:rPr>
                <w:sz w:val="1"/>
                <w:szCs w:val="1"/>
                <w:color w:val="auto"/>
              </w:rPr>
            </w:pPr>
          </w:p>
        </w:tc>
      </w:tr>
      <w:tr>
        <w:trPr>
          <w:trHeight w:val="189"/>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Retail</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Global Payments</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Corporate unallocated</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Information regarding revenues and operating revenues for the years ended September 30, 2020, 2019, and 2018, and information regarding long-lived assets (defined as property, equipment, leasehold improvements and software) as of September 30, 2020, 2019, and 2018 in geographic areas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1,587.6</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25,781.4</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54,139.6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3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2"/>
        </w:trPr>
        <w:tc>
          <w:tcPr>
            <w:tcW w:w="7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10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0" w:type="dxa"/>
            <w:vAlign w:val="bottom"/>
          </w:tcPr>
          <w:p>
            <w:pPr>
              <w:spacing w:after="0"/>
              <w:rPr>
                <w:sz w:val="1"/>
                <w:szCs w:val="1"/>
                <w:color w:val="auto"/>
              </w:rPr>
            </w:pPr>
          </w:p>
        </w:tc>
      </w:tr>
      <w:tr>
        <w:trPr>
          <w:trHeight w:val="16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as defined:</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9"/>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Quarterly Financial Information (Unaudited)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set forth certain quarterly unaudited financial data for the past two years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2020 Fiscal Quarter Ended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8"/>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14,284.9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8,243.4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20,366.3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11,245.0</w:t>
            </w:r>
          </w:p>
        </w:tc>
      </w:tr>
      <w:tr>
        <w:trPr>
          <w:trHeight w:val="189"/>
        </w:trPr>
        <w:tc>
          <w:tcPr>
            <w:tcW w:w="5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13,942.8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7,920.8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19,999.5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10,968.2</w:t>
            </w:r>
          </w:p>
        </w:tc>
      </w:tr>
      <w:tr>
        <w:trPr>
          <w:trHeight w:val="18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 and impairment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expenses</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w:t>
            </w:r>
          </w:p>
        </w:tc>
      </w:tr>
      <w:tr>
        <w:trPr>
          <w:trHeight w:val="189"/>
        </w:trPr>
        <w:tc>
          <w:tcPr>
            <w:tcW w:w="5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Gain on acquisitions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basic earnings per share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r>
      <w:tr>
        <w:trPr>
          <w:trHeight w:val="188"/>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diluted earnings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2019 Fiscal Quarter Ended</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6,552.2</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7,589.6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6,287.5</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0" w:type="dxa"/>
            <w:vAlign w:val="bottom"/>
          </w:tcPr>
          <w:p>
            <w:pPr>
              <w:spacing w:after="0"/>
              <w:rPr>
                <w:sz w:val="1"/>
                <w:szCs w:val="1"/>
                <w:color w:val="auto"/>
              </w:rPr>
            </w:pP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89"/>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4"/>
                <w:szCs w:val="14"/>
                <w:color w:val="auto"/>
              </w:rPr>
              <w:t xml:space="preserve">Recovery of bad debt on physical coal </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expenses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189"/>
        </w:trPr>
        <w:tc>
          <w:tcPr>
            <w:tcW w:w="56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Gain on acquisitions </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basic (loss) 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diluted (loss) earnings per share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60" w:firstLine="8"/>
        <w:spacing w:after="0" w:line="287" w:lineRule="auto"/>
        <w:tabs>
          <w:tab w:leader="none" w:pos="165" w:val="left"/>
        </w:tabs>
        <w:numPr>
          <w:ilvl w:val="0"/>
          <w:numId w:val="5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fourth quarter ended September 30, 2020, the Company recorded a bargain purchase gain of $81.8 million related to the acquisition of Gain. See Note 21 for additional information.</w:t>
      </w:r>
    </w:p>
    <w:p>
      <w:pPr>
        <w:spacing w:after="0" w:line="44" w:lineRule="exact"/>
        <w:rPr>
          <w:rFonts w:ascii="Times New Roman" w:cs="Times New Roman" w:eastAsia="Times New Roman" w:hAnsi="Times New Roman"/>
          <w:sz w:val="20"/>
          <w:szCs w:val="20"/>
          <w:color w:val="auto"/>
          <w:vertAlign w:val="superscript"/>
        </w:rPr>
      </w:pPr>
    </w:p>
    <w:p>
      <w:pPr>
        <w:ind w:right="180" w:firstLine="8"/>
        <w:spacing w:after="0" w:line="242" w:lineRule="auto"/>
        <w:tabs>
          <w:tab w:leader="none" w:pos="181"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fourth quarter ended September 30, 2019, the Company recorded a recovery on the bad debt on physical coal received through an insurance policy claim related to the matter. See Note 19 for additional information.</w:t>
      </w:r>
    </w:p>
    <w:p>
      <w:pPr>
        <w:spacing w:after="0" w:line="87" w:lineRule="exact"/>
        <w:rPr>
          <w:rFonts w:ascii="Times New Roman" w:cs="Times New Roman" w:eastAsia="Times New Roman" w:hAnsi="Times New Roman"/>
          <w:sz w:val="22"/>
          <w:szCs w:val="22"/>
          <w:color w:val="auto"/>
          <w:vertAlign w:val="superscript"/>
        </w:rPr>
      </w:pPr>
    </w:p>
    <w:p>
      <w:pPr>
        <w:ind w:firstLine="8"/>
        <w:spacing w:after="0" w:line="229"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second quarter ended March 31, 2019, the Company recorded a bargain purchase gain of $5.4 million related to the acquisition of INTL FCStone Credit Trading, LLC (formerly GMP Securities LLC). See Note 21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620" w:type="dxa"/>
            <w:vAlign w:val="bottom"/>
            <w:vMerge w:val="restart"/>
          </w:tcPr>
          <w:p>
            <w:pPr>
              <w:jc w:val="center"/>
              <w:ind w:left="2506"/>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86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tcPr>
          <w:p>
            <w:pPr>
              <w:jc w:val="center"/>
              <w:ind w:left="2506"/>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20" w:type="dxa"/>
            <w:vAlign w:val="bottom"/>
          </w:tcPr>
          <w:p>
            <w:pPr>
              <w:jc w:val="center"/>
              <w:ind w:left="2526"/>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99"/>
        </w:trPr>
        <w:tc>
          <w:tcPr>
            <w:tcW w:w="8620" w:type="dxa"/>
            <w:vAlign w:val="bottom"/>
          </w:tcPr>
          <w:p>
            <w:pPr>
              <w:ind w:left="4020"/>
              <w:spacing w:after="0"/>
              <w:rPr>
                <w:sz w:val="20"/>
                <w:szCs w:val="20"/>
                <w:color w:val="auto"/>
              </w:rPr>
            </w:pPr>
            <w:r>
              <w:rPr>
                <w:rFonts w:ascii="Times New Roman" w:cs="Times New Roman" w:eastAsia="Times New Roman" w:hAnsi="Times New Roman"/>
                <w:sz w:val="16"/>
                <w:szCs w:val="16"/>
                <w:color w:val="auto"/>
              </w:rPr>
              <w:t>ASSETS</w:t>
            </w: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subsidiaries, net</w:t>
            </w:r>
          </w:p>
        </w:tc>
        <w:tc>
          <w:tcPr>
            <w:tcW w:w="4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from clients</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Investment in subsidiaries</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3320"/>
              <w:spacing w:after="0"/>
              <w:rPr>
                <w:sz w:val="20"/>
                <w:szCs w:val="20"/>
                <w:color w:val="auto"/>
              </w:rPr>
            </w:pPr>
            <w:r>
              <w:rPr>
                <w:rFonts w:ascii="Times New Roman" w:cs="Times New Roman" w:eastAsia="Times New Roman" w:hAnsi="Times New Roman"/>
                <w:sz w:val="16"/>
                <w:szCs w:val="16"/>
                <w:color w:val="auto"/>
              </w:rPr>
              <w:t>LIABILITIES AND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 to clients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Payable to subsidiaries, net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 to lenders under loans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liabilities</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Group Inc. (Parent Company Only) stockholders’ equity:</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2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$0.01 par value. Authorized 30,000,000 shares; 21,798,551 issued and 19,376,594 outstanding at September 30, 2020 and</w:t>
            </w:r>
          </w:p>
        </w:tc>
        <w:tc>
          <w:tcPr>
            <w:tcW w:w="4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21,297,317 issued and 19,075,360 outstanding at September 30, 2019</w:t>
            </w: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in treasury, at cost - 2,421,957 shares at September 30, 2020 and 2,221,957 shares at September 30, 2019</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4"/>
                <w:szCs w:val="14"/>
                <w:color w:val="auto"/>
              </w:rPr>
              <w:t>Retained earnings</w:t>
            </w:r>
            <w:r>
              <w:rPr>
                <w:rFonts w:ascii="Times New Roman" w:cs="Times New Roman" w:eastAsia="Times New Roman" w:hAnsi="Times New Roman"/>
                <w:sz w:val="18"/>
                <w:szCs w:val="18"/>
                <w:color w:val="auto"/>
                <w:vertAlign w:val="superscript"/>
              </w:rPr>
              <w:t>(1)</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StoneX Group Inc. (Parent Company Only) stockholders’ equity</w:t>
            </w: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2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180" w:right="160" w:hanging="172"/>
        <w:spacing w:after="0" w:line="235" w:lineRule="auto"/>
        <w:tabs>
          <w:tab w:leader="none" w:pos="199"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are not included in the Condensed Balance Sheet or Condensed Statements of Operations. If the accounting for its investment in wholly owned subsidiaries were presented under the equity method of accounting, investment in subsidiaries and retained earnings would each increase by $577.2 million as of September 30, 2020, respectively, and $495.1 million, as of September 30, 2019,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68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680" w:type="dxa"/>
            <w:vAlign w:val="bottom"/>
            <w:gridSpan w:val="2"/>
          </w:tcPr>
          <w:p>
            <w:pPr>
              <w:jc w:val="center"/>
              <w:ind w:right="168"/>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6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Management fees from affiliates</w:t>
            </w:r>
          </w:p>
        </w:tc>
        <w:tc>
          <w:tcPr>
            <w:tcW w:w="4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losses, net</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Consulting fees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4"/>
                <w:szCs w:val="14"/>
                <w:color w:val="auto"/>
              </w:rPr>
              <w:t>Dividend income from subsidiaries</w:t>
            </w:r>
            <w:r>
              <w:rPr>
                <w:rFonts w:ascii="Times New Roman" w:cs="Times New Roman" w:eastAsia="Times New Roman" w:hAnsi="Times New Roman"/>
                <w:sz w:val="18"/>
                <w:szCs w:val="18"/>
                <w:color w:val="auto"/>
                <w:vertAlign w:val="superscript"/>
              </w:rPr>
              <w:t>(2)</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revenues</w:t>
            </w:r>
          </w:p>
        </w:tc>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Clearing and related expenses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Trade systems and market information</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 services fees to affiliates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on acquisitions</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tax</w:t>
            </w:r>
          </w:p>
        </w:tc>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260" w:hanging="171"/>
        <w:spacing w:after="0" w:line="235" w:lineRule="auto"/>
        <w:tabs>
          <w:tab w:leader="none" w:pos="292"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are not included in the Condensed Balance Sheet or Condensed Statements of Operations. If the accounting for its investment in wholly owned subsidiaries were presented under the equity method of accounting, revenues would also include income from investment in subsidiaries of $81.4 million, $69.8 million, and $92.7 million for the years ended September 30,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40" w:type="dxa"/>
            <w:vAlign w:val="bottom"/>
            <w:vMerge w:val="restart"/>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7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40" w:type="dxa"/>
            <w:vAlign w:val="bottom"/>
          </w:tcPr>
          <w:p>
            <w:pPr>
              <w:jc w:val="center"/>
              <w:ind w:left="3367"/>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operating right of use assets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and extinguishment of debt issuance costs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share-based compensation expense</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acquisition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Due to/from subsidiaries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Receivables from clients, net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Notes receivable, net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Payable to clients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 contribution in affiliates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change in lenders under loans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notes payable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senior secured term loan</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senior secured term loan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senior secured notes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senior secured notes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 repurchase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Withholding taxes on stock option exercises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Income taxes (received) paid, net of cash refunds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78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filing of this Form 10-K, our management, including our Chief Executive Officer and Chief Financial Officer, evaluated the effectiveness of the design and operation of our disclosure controls and procedures (as such term is defined in Rules 13a-15(e) and 15d-15(e) under the Securities Exchange Act of 1934, as amended (the “Exchange Act”)) as of September 30, 2020. We seek to design our disclosure controls and procedures to provide reasonable assurance that the reports we file or submit under the Exchange Act contain the required information and that we submit these reports within the time periods specified in SEC rules and forms. We also seek to design these controls and procedures to ensure that we accumulate and communicate correct information to our management, including our Chief Executive Officer and Chief Financial Officer, as appropriate, to allow timely decisions regarding required disclosure.</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have concluded that our disclosure controls and procedures were effective as of September 30, 2020.</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Management’s Report on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financial statements for external purposes in accordance with U.S. generally accepted accounting principles (“U.S. GAAP”).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Company’s internal control over financial reporting as of September 30, 2020, based on the framework in Internal Control - Integrated Framework (2013) issued by the Committee of Sponsoring Organizations (COSO) of the Treadway Commission.</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Management’s assessment of the effectiveness of the Company’s internal control over financial reporting as of September 30, 2020 excluded the futures and options brokerage and clearing business of UOB Bullion and Futures Limited, acquired with effect from October 7, 2019; IFCM Commodities GmbH, acquired with effect from January 2, 2020; Exotix Partners, LLP, acquired with effect from April 1, 2020; GIROXX GmbH, acquired with effect from May 1, 2020; Tellimer Capital Ltd, acquired with effect from June 1, 2020; and Gain Capital Holdings, Inc. acquired with effect from July 30, 2020. These acquired businesses had aggregate total assets of $1.788.2 billion and total revenues of $67.5 million included in the Company’s consolidated financial statements as of and for the year ended September 30, 2020.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its assessment, management has concluded that our internal control over financial reporting was effective as of September 30, 2020.</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KPMG LLP, an independent registered public accounting firm, was engaged to audit the effectiveness of our internal control over financial reporting as of September 30, 2020 and has issued an audit report regarding their assessment of the effectiveness of internal control over financial reporting which is included on page 66 in this Annual Report on Form 10-K.</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September 30, 2020 that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include a list of our executive officers and biographical and other information about them and our directors in the definitive Proxy Statement for our 2021 Annual Meeting of Stockholders to be held on February 24, 2021. We will file the proxy within 120 days of the end of our fiscal year ended September 30, 2020 (the “2021 Proxy Statement”). The 2021 Proxy Statement is incorporated herein by reference. Information about our Audit Committee may be found in the Proxy Statement. That information is incorporated herein by reference.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adopted a code of ethics that applies to the directors, officers and employees of the Company and each of its subsidiaries. The code of ethics is publicly available on our Website at www.intlfcstone.com/ethics.aspx.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include information relating to our executive officer and director compensation and the compensation committee of our board of directors in the 2021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will include information relating to security ownership of certain beneficial owners of our common stock and information relating to the security ownership of our management in the 2021 Proxy Statement and is incorporated herein by reference.</w:t>
      </w:r>
    </w:p>
    <w:p>
      <w:pPr>
        <w:spacing w:after="0" w:line="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generally as of September 30, 2020, the last day of fiscal 2021, regarding securities to be issued on exercise of stock options, and securities remaining available for issuance under our equity compensation plans that were in effect during fiscal 2021.</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20" w:type="dxa"/>
            <w:vAlign w:val="bottom"/>
          </w:tcPr>
          <w:p>
            <w:pPr>
              <w:spacing w:after="0"/>
              <w:rPr>
                <w:sz w:val="13"/>
                <w:szCs w:val="13"/>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2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stockholders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724,483</w:t>
            </w:r>
          </w:p>
        </w:tc>
        <w:tc>
          <w:tcPr>
            <w:tcW w:w="0" w:type="dxa"/>
            <w:vAlign w:val="bottom"/>
          </w:tcPr>
          <w:p>
            <w:pPr>
              <w:spacing w:after="0"/>
              <w:rPr>
                <w:sz w:val="1"/>
                <w:szCs w:val="1"/>
                <w:color w:val="auto"/>
              </w:rPr>
            </w:pPr>
          </w:p>
        </w:tc>
      </w:tr>
      <w:tr>
        <w:trPr>
          <w:trHeight w:val="213"/>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1,408,036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724,483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will include information regarding certain relationships and related transactions and director independence in the 2021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principal accountant fees and services will be included in the 2021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w:t>
      </w:r>
    </w:p>
    <w:p>
      <w:pPr>
        <w:spacing w:after="0" w:line="166" w:lineRule="exact"/>
        <w:rPr>
          <w:sz w:val="20"/>
          <w:szCs w:val="20"/>
          <w:color w:val="auto"/>
        </w:rPr>
      </w:pPr>
    </w:p>
    <w:p>
      <w:pPr>
        <w:ind w:left="800" w:right="8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2.1</w:t>
      </w:r>
      <w:r>
        <w:rPr>
          <w:sz w:val="20"/>
          <w:szCs w:val="20"/>
          <w:color w:val="auto"/>
        </w:rPr>
        <w:tab/>
      </w:r>
      <w:hyperlink r:id="rId163">
        <w:r>
          <w:rPr>
            <w:rFonts w:ascii="Times New Roman" w:cs="Times New Roman" w:eastAsia="Times New Roman" w:hAnsi="Times New Roman"/>
            <w:sz w:val="16"/>
            <w:szCs w:val="16"/>
            <w:u w:val="single" w:color="auto"/>
            <w:color w:val="0000FF"/>
          </w:rPr>
          <w:t>Agreement and Plan of Merger, dated as of February 26, 2020, by and among the Company, Merger Sub and GCAP (incorporated by reference to Exhibit 10.1</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of the Company’s Current Report on Form 8-K filed by the Company on February 27, 2020).</w:t>
        </w:r>
      </w:hyperlink>
    </w:p>
    <w:p>
      <w:pPr>
        <w:spacing w:after="0" w:line="52"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r>
      <w:r>
        <w:rPr>
          <w:sz w:val="20"/>
          <w:szCs w:val="20"/>
          <w:color w:val="auto"/>
        </w:rPr>
        <w:tab/>
      </w:r>
      <w:hyperlink r:id="rId164">
        <w:r>
          <w:rPr>
            <w:rFonts w:ascii="Times New Roman" w:cs="Times New Roman" w:eastAsia="Times New Roman" w:hAnsi="Times New Roman"/>
            <w:sz w:val="16"/>
            <w:szCs w:val="16"/>
            <w:u w:val="single" w:color="auto"/>
            <w:color w:val="0000FF"/>
          </w:rPr>
          <w:t>Amended and Restated Certificate of Incorporation (incorporated by reference from the Company’s Current Report on Form 8-K filed with the SEC on October</w:t>
        </w:r>
      </w:hyperlink>
    </w:p>
    <w:p>
      <w:pPr>
        <w:ind w:left="800"/>
        <w:spacing w:after="0"/>
        <w:rPr>
          <w:rFonts w:ascii="Times New Roman" w:cs="Times New Roman" w:eastAsia="Times New Roman" w:hAnsi="Times New Roman"/>
          <w:sz w:val="16"/>
          <w:szCs w:val="16"/>
          <w:u w:val="single" w:color="auto"/>
          <w:color w:val="0000FF"/>
        </w:rPr>
      </w:pPr>
      <w:hyperlink r:id="rId164">
        <w:r>
          <w:rPr>
            <w:rFonts w:ascii="Times New Roman" w:cs="Times New Roman" w:eastAsia="Times New Roman" w:hAnsi="Times New Roman"/>
            <w:sz w:val="16"/>
            <w:szCs w:val="16"/>
            <w:u w:val="single" w:color="auto"/>
            <w:color w:val="0000FF"/>
          </w:rPr>
          <w:t>8, 2009).</w:t>
        </w:r>
      </w:hyperlink>
    </w:p>
    <w:p>
      <w:pPr>
        <w:spacing w:after="0" w:line="68"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r>
      <w:r>
        <w:rPr>
          <w:sz w:val="20"/>
          <w:szCs w:val="20"/>
          <w:color w:val="auto"/>
        </w:rPr>
        <w:tab/>
      </w:r>
      <w:hyperlink r:id="rId165">
        <w:r>
          <w:rPr>
            <w:rFonts w:ascii="Times New Roman" w:cs="Times New Roman" w:eastAsia="Times New Roman" w:hAnsi="Times New Roman"/>
            <w:sz w:val="16"/>
            <w:szCs w:val="16"/>
            <w:u w:val="single" w:color="auto"/>
            <w:color w:val="0000FF"/>
          </w:rPr>
          <w:t>Amended and Restated By-laws (incorporated by reference from the Company’s Quarterly Report on Form 10-Q filed with the SEC on August 14, 2007).</w:t>
        </w:r>
      </w:hyperlink>
    </w:p>
    <w:p>
      <w:pPr>
        <w:spacing w:after="0" w:line="86"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3.3</w:t>
      </w:r>
      <w:r>
        <w:rPr>
          <w:sz w:val="20"/>
          <w:szCs w:val="20"/>
          <w:color w:val="auto"/>
        </w:rPr>
        <w:tab/>
      </w:r>
      <w:hyperlink r:id="rId166">
        <w:r>
          <w:rPr>
            <w:rFonts w:ascii="Times New Roman" w:cs="Times New Roman" w:eastAsia="Times New Roman" w:hAnsi="Times New Roman"/>
            <w:sz w:val="16"/>
            <w:szCs w:val="16"/>
            <w:u w:val="single" w:color="auto"/>
            <w:color w:val="0000FF"/>
          </w:rPr>
          <w:t>Certificate of Amendment of Certificate of Incorporation (incorporated by reference from the Company’s Form 10-Q filed with the SEC on August 6, 2020).</w:t>
        </w:r>
      </w:hyperlink>
    </w:p>
    <w:p>
      <w:pPr>
        <w:spacing w:after="0" w:line="86" w:lineRule="exact"/>
        <w:rPr>
          <w:sz w:val="20"/>
          <w:szCs w:val="20"/>
          <w:color w:val="auto"/>
        </w:rPr>
      </w:pPr>
    </w:p>
    <w:p>
      <w:pPr>
        <w:ind w:left="800" w:right="14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w:t>
      </w:r>
      <w:r>
        <w:rPr>
          <w:sz w:val="20"/>
          <w:szCs w:val="20"/>
          <w:color w:val="auto"/>
        </w:rPr>
        <w:tab/>
      </w:r>
      <w:hyperlink r:id="rId167">
        <w:r>
          <w:rPr>
            <w:rFonts w:ascii="Times New Roman" w:cs="Times New Roman" w:eastAsia="Times New Roman" w:hAnsi="Times New Roman"/>
            <w:sz w:val="16"/>
            <w:szCs w:val="16"/>
            <w:u w:val="single" w:color="auto"/>
            <w:color w:val="0000FF"/>
          </w:rPr>
          <w:t>International Assets Holding Corporation 2003 Stock Option Plan (incorporated by reference from the Company’s Proxy Statement on Schedule 14A filed on</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January 14, 2003).</w:t>
        </w:r>
      </w:hyperlink>
    </w:p>
    <w:p>
      <w:pPr>
        <w:spacing w:after="0" w:line="52"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w:t>
      </w:r>
      <w:r>
        <w:rPr>
          <w:sz w:val="20"/>
          <w:szCs w:val="20"/>
          <w:color w:val="auto"/>
        </w:rPr>
        <w:tab/>
      </w:r>
      <w:hyperlink r:id="rId168">
        <w:r>
          <w:rPr>
            <w:rFonts w:ascii="Times New Roman" w:cs="Times New Roman" w:eastAsia="Times New Roman" w:hAnsi="Times New Roman"/>
            <w:sz w:val="16"/>
            <w:szCs w:val="16"/>
            <w:u w:val="single" w:color="auto"/>
            <w:color w:val="0000FF"/>
          </w:rPr>
          <w:t>Amendment to International Assets Holding Corporation 2003 Stock Option Plan (incorporated by reference from the Company’s Proxy Statement on Form</w:t>
        </w:r>
      </w:hyperlink>
    </w:p>
    <w:p>
      <w:pPr>
        <w:ind w:left="800"/>
        <w:spacing w:after="0"/>
        <w:rPr>
          <w:rFonts w:ascii="Times New Roman" w:cs="Times New Roman" w:eastAsia="Times New Roman" w:hAnsi="Times New Roman"/>
          <w:sz w:val="16"/>
          <w:szCs w:val="16"/>
          <w:u w:val="single" w:color="auto"/>
          <w:color w:val="0000FF"/>
        </w:rPr>
      </w:pPr>
      <w:hyperlink r:id="rId168">
        <w:r>
          <w:rPr>
            <w:rFonts w:ascii="Times New Roman" w:cs="Times New Roman" w:eastAsia="Times New Roman" w:hAnsi="Times New Roman"/>
            <w:sz w:val="16"/>
            <w:szCs w:val="16"/>
            <w:u w:val="single" w:color="auto"/>
            <w:color w:val="0000FF"/>
          </w:rPr>
          <w:t>14A filed with the SEC on February 11, 2004).</w:t>
        </w:r>
      </w:hyperlink>
    </w:p>
    <w:p>
      <w:pPr>
        <w:spacing w:after="0" w:line="64"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r>
      <w:r>
        <w:rPr>
          <w:sz w:val="20"/>
          <w:szCs w:val="20"/>
          <w:color w:val="auto"/>
        </w:rPr>
        <w:tab/>
      </w:r>
      <w:hyperlink r:id="rId169">
        <w:r>
          <w:rPr>
            <w:rFonts w:ascii="Times New Roman" w:cs="Times New Roman" w:eastAsia="Times New Roman" w:hAnsi="Times New Roman"/>
            <w:sz w:val="16"/>
            <w:szCs w:val="16"/>
            <w:u w:val="single" w:color="auto"/>
            <w:color w:val="0000FF"/>
          </w:rPr>
          <w:t>Amendment to International Assets Holding Corporation 2003 Stock Option Plan (incorporated by reference from the Company’s Proxy Statement on Form</w:t>
        </w:r>
      </w:hyperlink>
    </w:p>
    <w:p>
      <w:pPr>
        <w:ind w:left="800"/>
        <w:spacing w:after="0"/>
        <w:rPr>
          <w:rFonts w:ascii="Times New Roman" w:cs="Times New Roman" w:eastAsia="Times New Roman" w:hAnsi="Times New Roman"/>
          <w:sz w:val="16"/>
          <w:szCs w:val="16"/>
          <w:u w:val="single" w:color="auto"/>
          <w:color w:val="0000FF"/>
        </w:rPr>
      </w:pPr>
      <w:hyperlink r:id="rId169">
        <w:r>
          <w:rPr>
            <w:rFonts w:ascii="Times New Roman" w:cs="Times New Roman" w:eastAsia="Times New Roman" w:hAnsi="Times New Roman"/>
            <w:sz w:val="16"/>
            <w:szCs w:val="16"/>
            <w:u w:val="single" w:color="auto"/>
            <w:color w:val="0000FF"/>
          </w:rPr>
          <w:t>14A filed with the SEC on January 23, 2006).</w:t>
        </w:r>
      </w:hyperlink>
    </w:p>
    <w:p>
      <w:pPr>
        <w:spacing w:after="0" w:line="68"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4.4</w:t>
      </w:r>
      <w:r>
        <w:rPr>
          <w:sz w:val="20"/>
          <w:szCs w:val="20"/>
          <w:color w:val="auto"/>
        </w:rPr>
        <w:tab/>
      </w:r>
      <w:hyperlink r:id="rId170">
        <w:r>
          <w:rPr>
            <w:rFonts w:ascii="Times New Roman" w:cs="Times New Roman" w:eastAsia="Times New Roman" w:hAnsi="Times New Roman"/>
            <w:sz w:val="16"/>
            <w:szCs w:val="16"/>
            <w:u w:val="single" w:color="auto"/>
            <w:color w:val="0000FF"/>
          </w:rPr>
          <w:t>INTL FCStone Inc. 2013 Stock Option Plan (incorporated by reference from the Company’s Proxy Statement on Schedule 14A filed on January 11, 2013).</w:t>
        </w:r>
      </w:hyperlink>
    </w:p>
    <w:p>
      <w:pPr>
        <w:spacing w:after="0" w:line="86" w:lineRule="exact"/>
        <w:rPr>
          <w:sz w:val="20"/>
          <w:szCs w:val="20"/>
          <w:color w:val="auto"/>
        </w:rPr>
      </w:pPr>
    </w:p>
    <w:p>
      <w:pPr>
        <w:ind w:left="46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4.5</w:t>
      </w:r>
      <w:r>
        <w:rPr>
          <w:sz w:val="20"/>
          <w:szCs w:val="20"/>
          <w:color w:val="auto"/>
        </w:rPr>
        <w:tab/>
      </w:r>
      <w:hyperlink w:anchor="page138">
        <w:r>
          <w:rPr>
            <w:rFonts w:ascii="Times New Roman" w:cs="Times New Roman" w:eastAsia="Times New Roman" w:hAnsi="Times New Roman"/>
            <w:sz w:val="16"/>
            <w:szCs w:val="16"/>
            <w:u w:val="single" w:color="auto"/>
            <w:color w:val="0000FF"/>
          </w:rPr>
          <w:t xml:space="preserve">Description of Registrant’s Securities </w:t>
        </w:r>
      </w:hyperlink>
      <w:r>
        <w:rPr>
          <w:rFonts w:ascii="Times New Roman" w:cs="Times New Roman" w:eastAsia="Times New Roman" w:hAnsi="Times New Roman"/>
          <w:sz w:val="16"/>
          <w:szCs w:val="16"/>
          <w:color w:val="000000"/>
        </w:rPr>
        <w:t>*</w:t>
      </w:r>
    </w:p>
    <w:p>
      <w:pPr>
        <w:spacing w:after="0" w:line="86" w:lineRule="exact"/>
        <w:rPr>
          <w:sz w:val="20"/>
          <w:szCs w:val="20"/>
          <w:color w:val="auto"/>
        </w:rPr>
      </w:pPr>
    </w:p>
    <w:p>
      <w:pPr>
        <w:ind w:left="800" w:right="6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4.6</w:t>
      </w:r>
      <w:r>
        <w:rPr>
          <w:sz w:val="20"/>
          <w:szCs w:val="20"/>
          <w:color w:val="auto"/>
        </w:rPr>
        <w:tab/>
      </w:r>
      <w:hyperlink r:id="rId171">
        <w:r>
          <w:rPr>
            <w:rFonts w:ascii="Times New Roman" w:cs="Times New Roman" w:eastAsia="Times New Roman" w:hAnsi="Times New Roman"/>
            <w:sz w:val="16"/>
            <w:szCs w:val="16"/>
            <w:u w:val="single" w:color="auto"/>
            <w:color w:val="0000FF"/>
          </w:rPr>
          <w:t>Indenture by and among the Company, the guarantors party thereto from time to time and The Bank of New York Mellon, as trustee and collateral agent, dated</w:t>
        </w:r>
      </w:hyperlink>
      <w:r>
        <w:rPr>
          <w:rFonts w:ascii="Times New Roman" w:cs="Times New Roman" w:eastAsia="Times New Roman" w:hAnsi="Times New Roman"/>
          <w:sz w:val="16"/>
          <w:szCs w:val="16"/>
          <w:u w:val="single" w:color="auto"/>
          <w:color w:val="0000FF"/>
        </w:rPr>
        <w:t xml:space="preserve"> </w:t>
      </w:r>
      <w:hyperlink r:id="rId171">
        <w:r>
          <w:rPr>
            <w:rFonts w:ascii="Times New Roman" w:cs="Times New Roman" w:eastAsia="Times New Roman" w:hAnsi="Times New Roman"/>
            <w:sz w:val="16"/>
            <w:szCs w:val="16"/>
            <w:u w:val="single" w:color="auto"/>
            <w:color w:val="0000FF"/>
          </w:rPr>
          <w:t>as of June 11, 2020 (incorporated by reference from the Company's Current Report on Form 8-K filed with the SEC on June 11, 2020).</w:t>
        </w:r>
      </w:hyperlink>
    </w:p>
    <w:p>
      <w:pPr>
        <w:spacing w:after="0" w:line="56" w:lineRule="exact"/>
        <w:rPr>
          <w:sz w:val="20"/>
          <w:szCs w:val="20"/>
          <w:color w:val="auto"/>
        </w:rPr>
      </w:pPr>
    </w:p>
    <w:p>
      <w:pPr>
        <w:ind w:left="800" w:right="12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4.7</w:t>
      </w:r>
      <w:r>
        <w:rPr>
          <w:sz w:val="20"/>
          <w:szCs w:val="20"/>
          <w:color w:val="auto"/>
        </w:rPr>
        <w:tab/>
      </w:r>
      <w:hyperlink r:id="rId171">
        <w:r>
          <w:rPr>
            <w:rFonts w:ascii="Times New Roman" w:cs="Times New Roman" w:eastAsia="Times New Roman" w:hAnsi="Times New Roman"/>
            <w:sz w:val="16"/>
            <w:szCs w:val="16"/>
            <w:u w:val="single" w:color="auto"/>
            <w:color w:val="0000FF"/>
          </w:rPr>
          <w:t>Form of 8.625% Senior Secured Notes due 2025 (included in Exhibit 4.1) (incorporated by reference from the Company's Current Report on Report 8-K filed</w:t>
        </w:r>
      </w:hyperlink>
      <w:r>
        <w:rPr>
          <w:rFonts w:ascii="Times New Roman" w:cs="Times New Roman" w:eastAsia="Times New Roman" w:hAnsi="Times New Roman"/>
          <w:sz w:val="16"/>
          <w:szCs w:val="16"/>
          <w:u w:val="single" w:color="auto"/>
          <w:color w:val="0000FF"/>
        </w:rPr>
        <w:t xml:space="preserve"> </w:t>
      </w:r>
      <w:hyperlink r:id="rId171">
        <w:r>
          <w:rPr>
            <w:rFonts w:ascii="Times New Roman" w:cs="Times New Roman" w:eastAsia="Times New Roman" w:hAnsi="Times New Roman"/>
            <w:sz w:val="16"/>
            <w:szCs w:val="16"/>
            <w:u w:val="single" w:color="auto"/>
            <w:color w:val="0000FF"/>
          </w:rPr>
          <w:t>with the SEC on June 11, 2020).</w:t>
        </w:r>
      </w:hyperlink>
    </w:p>
    <w:p>
      <w:pPr>
        <w:spacing w:after="0" w:line="56" w:lineRule="exact"/>
        <w:rPr>
          <w:sz w:val="20"/>
          <w:szCs w:val="20"/>
          <w:color w:val="auto"/>
        </w:rPr>
      </w:pPr>
    </w:p>
    <w:p>
      <w:pPr>
        <w:ind w:left="800" w:right="42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4.8</w:t>
      </w:r>
      <w:r>
        <w:rPr>
          <w:sz w:val="20"/>
          <w:szCs w:val="20"/>
          <w:color w:val="auto"/>
        </w:rPr>
        <w:tab/>
      </w:r>
      <w:hyperlink r:id="rId172">
        <w:r>
          <w:rPr>
            <w:rFonts w:ascii="Times New Roman" w:cs="Times New Roman" w:eastAsia="Times New Roman" w:hAnsi="Times New Roman"/>
            <w:sz w:val="16"/>
            <w:szCs w:val="16"/>
            <w:u w:val="single" w:color="auto"/>
            <w:color w:val="0000FF"/>
          </w:rPr>
          <w:t>First Supplemental Indenture, dated as of July 31, 2020, by and among the Company, the Guaranteeing Subsidiaries and the Trustee and Collateral Agent</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(incorporated by reference from the Company's Current Report on Form 8-K filed with the SEC on July 31, 2020).</w:t>
        </w:r>
      </w:hyperlink>
    </w:p>
    <w:p>
      <w:pPr>
        <w:spacing w:after="0" w:line="56" w:lineRule="exact"/>
        <w:rPr>
          <w:sz w:val="20"/>
          <w:szCs w:val="20"/>
          <w:color w:val="auto"/>
        </w:rPr>
      </w:pPr>
    </w:p>
    <w:p>
      <w:pPr>
        <w:ind w:left="800" w:right="380" w:hanging="345"/>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4.9</w:t>
      </w:r>
      <w:r>
        <w:rPr>
          <w:sz w:val="20"/>
          <w:szCs w:val="20"/>
          <w:color w:val="auto"/>
        </w:rPr>
        <w:tab/>
      </w:r>
      <w:hyperlink r:id="rId173">
        <w:r>
          <w:rPr>
            <w:rFonts w:ascii="Times New Roman" w:cs="Times New Roman" w:eastAsia="Times New Roman" w:hAnsi="Times New Roman"/>
            <w:sz w:val="16"/>
            <w:szCs w:val="16"/>
            <w:u w:val="single" w:color="auto"/>
            <w:color w:val="0000FF"/>
          </w:rPr>
          <w:t>Security and Pledge Agreement, dated as of July 31, 2020, by and among the Company, the Domestic Guaranteeing Subsidiaries and the Collateral Agent</w:t>
        </w:r>
      </w:hyperlink>
      <w:r>
        <w:rPr>
          <w:rFonts w:ascii="Times New Roman" w:cs="Times New Roman" w:eastAsia="Times New Roman" w:hAnsi="Times New Roman"/>
          <w:sz w:val="16"/>
          <w:szCs w:val="16"/>
          <w:u w:val="single" w:color="auto"/>
          <w:color w:val="0000FF"/>
        </w:rPr>
        <w:t xml:space="preserve"> </w:t>
      </w:r>
      <w:hyperlink r:id="rId173">
        <w:r>
          <w:rPr>
            <w:rFonts w:ascii="Times New Roman" w:cs="Times New Roman" w:eastAsia="Times New Roman" w:hAnsi="Times New Roman"/>
            <w:sz w:val="16"/>
            <w:szCs w:val="16"/>
            <w:u w:val="single" w:color="auto"/>
            <w:color w:val="0000FF"/>
          </w:rPr>
          <w:t>(incorporated by reference from the Company's Current Report on Form 8-K filed with the SEC on July 31, 2020).</w:t>
        </w:r>
      </w:hyperlink>
    </w:p>
    <w:p>
      <w:pPr>
        <w:spacing w:after="0" w:line="56" w:lineRule="exact"/>
        <w:rPr>
          <w:sz w:val="20"/>
          <w:szCs w:val="20"/>
          <w:color w:val="auto"/>
        </w:rPr>
      </w:pPr>
    </w:p>
    <w:p>
      <w:pPr>
        <w:ind w:left="800" w:right="8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4.10</w:t>
      </w:r>
      <w:r>
        <w:rPr>
          <w:sz w:val="20"/>
          <w:szCs w:val="20"/>
          <w:color w:val="auto"/>
        </w:rPr>
        <w:tab/>
      </w:r>
      <w:hyperlink r:id="rId174">
        <w:r>
          <w:rPr>
            <w:rFonts w:ascii="Times New Roman" w:cs="Times New Roman" w:eastAsia="Times New Roman" w:hAnsi="Times New Roman"/>
            <w:sz w:val="16"/>
            <w:szCs w:val="16"/>
            <w:u w:val="single" w:color="auto"/>
            <w:color w:val="0000FF"/>
          </w:rPr>
          <w:t>Joinder to the Amended and Restated Credit Agreement, dated as of July 31, 2020, by and among the GAIN Guaranteeing Subsidiaries and the Administrative</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Agent (incorporated by reference from the Company's Current Report on Form 8-K filed with the SEC on July 31, 2020).</w:t>
        </w:r>
      </w:hyperlink>
    </w:p>
    <w:p>
      <w:pPr>
        <w:spacing w:after="0" w:line="56" w:lineRule="exact"/>
        <w:rPr>
          <w:sz w:val="20"/>
          <w:szCs w:val="20"/>
          <w:color w:val="auto"/>
        </w:rPr>
      </w:pPr>
    </w:p>
    <w:p>
      <w:pPr>
        <w:ind w:left="800" w:right="24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r>
      <w:r>
        <w:rPr>
          <w:sz w:val="20"/>
          <w:szCs w:val="20"/>
          <w:color w:val="auto"/>
        </w:rPr>
        <w:tab/>
      </w:r>
      <w:hyperlink r:id="rId175">
        <w:r>
          <w:rPr>
            <w:rFonts w:ascii="Times New Roman" w:cs="Times New Roman" w:eastAsia="Times New Roman" w:hAnsi="Times New Roman"/>
            <w:sz w:val="16"/>
            <w:szCs w:val="16"/>
            <w:u w:val="single" w:color="auto"/>
            <w:color w:val="0000FF"/>
          </w:rPr>
          <w:t>Registration Rights Agreement, dated October 22, 2002, by and between the Company, and Sean O’Connor (incorporated by reference from the Company’s</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Current Report on Form 8-K filed with the SEC on October 24, 2002).</w:t>
        </w:r>
      </w:hyperlink>
    </w:p>
    <w:p>
      <w:pPr>
        <w:spacing w:after="0" w:line="56" w:lineRule="exact"/>
        <w:rPr>
          <w:sz w:val="20"/>
          <w:szCs w:val="20"/>
          <w:color w:val="auto"/>
        </w:rPr>
      </w:pPr>
    </w:p>
    <w:p>
      <w:pPr>
        <w:ind w:left="800" w:right="24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w:t>
      </w:r>
      <w:r>
        <w:rPr>
          <w:sz w:val="20"/>
          <w:szCs w:val="20"/>
          <w:color w:val="auto"/>
        </w:rPr>
        <w:tab/>
      </w:r>
      <w:hyperlink r:id="rId176">
        <w:r>
          <w:rPr>
            <w:rFonts w:ascii="Times New Roman" w:cs="Times New Roman" w:eastAsia="Times New Roman" w:hAnsi="Times New Roman"/>
            <w:sz w:val="16"/>
            <w:szCs w:val="16"/>
            <w:u w:val="single" w:color="auto"/>
            <w:color w:val="0000FF"/>
          </w:rPr>
          <w:t>First Amendment to Registration Rights Agreement, dated December 6, 2002, by and between the Company and Sean O’Connor (incorporated by reference</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from the Company’s Form 8-K filed with the SEC on December 10, 2002).</w:t>
        </w:r>
      </w:hyperlink>
    </w:p>
    <w:p>
      <w:pPr>
        <w:spacing w:after="0" w:line="56" w:lineRule="exact"/>
        <w:rPr>
          <w:sz w:val="20"/>
          <w:szCs w:val="20"/>
          <w:color w:val="auto"/>
        </w:rPr>
      </w:pPr>
    </w:p>
    <w:p>
      <w:pPr>
        <w:ind w:left="800" w:right="32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w:t>
      </w:r>
      <w:r>
        <w:rPr>
          <w:sz w:val="20"/>
          <w:szCs w:val="20"/>
          <w:color w:val="auto"/>
        </w:rPr>
        <w:tab/>
      </w:r>
      <w:hyperlink r:id="rId177">
        <w:r>
          <w:rPr>
            <w:rFonts w:ascii="Times New Roman" w:cs="Times New Roman" w:eastAsia="Times New Roman" w:hAnsi="Times New Roman"/>
            <w:sz w:val="16"/>
            <w:szCs w:val="16"/>
            <w:u w:val="single" w:color="auto"/>
            <w:color w:val="0000FF"/>
          </w:rPr>
          <w:t>Registration Rights Agreement, dated October 22, 2002, by and between the Company and John Radziwill (incorporated by reference from the Company’s</w:t>
        </w:r>
      </w:hyperlink>
      <w:r>
        <w:rPr>
          <w:rFonts w:ascii="Times New Roman" w:cs="Times New Roman" w:eastAsia="Times New Roman" w:hAnsi="Times New Roman"/>
          <w:sz w:val="16"/>
          <w:szCs w:val="16"/>
          <w:u w:val="single" w:color="auto"/>
          <w:color w:val="0000FF"/>
        </w:rPr>
        <w:t xml:space="preserve"> </w:t>
      </w:r>
      <w:hyperlink r:id="rId177">
        <w:r>
          <w:rPr>
            <w:rFonts w:ascii="Times New Roman" w:cs="Times New Roman" w:eastAsia="Times New Roman" w:hAnsi="Times New Roman"/>
            <w:sz w:val="16"/>
            <w:szCs w:val="16"/>
            <w:u w:val="single" w:color="auto"/>
            <w:color w:val="0000FF"/>
          </w:rPr>
          <w:t>Current Report on Form 8-K filed with the SEC on October 24, 2002).</w:t>
        </w:r>
      </w:hyperlink>
    </w:p>
    <w:p>
      <w:pPr>
        <w:spacing w:after="0" w:line="56" w:lineRule="exact"/>
        <w:rPr>
          <w:sz w:val="20"/>
          <w:szCs w:val="20"/>
          <w:color w:val="auto"/>
        </w:rPr>
      </w:pPr>
    </w:p>
    <w:p>
      <w:pPr>
        <w:ind w:left="800" w:right="28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r>
      <w:r>
        <w:rPr>
          <w:sz w:val="20"/>
          <w:szCs w:val="20"/>
          <w:color w:val="auto"/>
        </w:rPr>
        <w:tab/>
      </w:r>
      <w:hyperlink r:id="rId178">
        <w:r>
          <w:rPr>
            <w:rFonts w:ascii="Times New Roman" w:cs="Times New Roman" w:eastAsia="Times New Roman" w:hAnsi="Times New Roman"/>
            <w:sz w:val="16"/>
            <w:szCs w:val="16"/>
            <w:u w:val="single" w:color="auto"/>
            <w:color w:val="0000FF"/>
          </w:rPr>
          <w:t>First Amendment to Registration Rights Agreement, dated December 6, 2002, by and between the Company and John Radziwill (incorporated by reference</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from the Company’s Current Report on Form 8-K filed with the SEC on December 10, 2002).</w:t>
        </w:r>
      </w:hyperlink>
    </w:p>
    <w:p>
      <w:pPr>
        <w:spacing w:after="0" w:line="56" w:lineRule="exact"/>
        <w:rPr>
          <w:sz w:val="20"/>
          <w:szCs w:val="20"/>
          <w:color w:val="auto"/>
        </w:rPr>
      </w:pPr>
    </w:p>
    <w:p>
      <w:pPr>
        <w:ind w:left="38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w:t>
      </w:r>
      <w:r>
        <w:rPr>
          <w:sz w:val="20"/>
          <w:szCs w:val="20"/>
          <w:color w:val="auto"/>
        </w:rPr>
        <w:tab/>
      </w:r>
      <w:hyperlink r:id="rId179">
        <w:r>
          <w:rPr>
            <w:rFonts w:ascii="Times New Roman" w:cs="Times New Roman" w:eastAsia="Times New Roman" w:hAnsi="Times New Roman"/>
            <w:sz w:val="16"/>
            <w:szCs w:val="16"/>
            <w:u w:val="single" w:color="auto"/>
            <w:color w:val="0000FF"/>
          </w:rPr>
          <w:t>2012 Restricted Stock Plan (incorporated by reference from the Company’s Proxy Statement on Form 14A filed with the SEC on January 13, 2012).</w:t>
        </w:r>
      </w:hyperlink>
    </w:p>
    <w:p>
      <w:pPr>
        <w:spacing w:after="0" w:line="86" w:lineRule="exact"/>
        <w:rPr>
          <w:sz w:val="20"/>
          <w:szCs w:val="20"/>
          <w:color w:val="auto"/>
        </w:rPr>
      </w:pPr>
    </w:p>
    <w:p>
      <w:pPr>
        <w:ind w:left="800" w:right="24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w:t>
      </w:r>
      <w:r>
        <w:rPr>
          <w:sz w:val="20"/>
          <w:szCs w:val="20"/>
          <w:color w:val="auto"/>
        </w:rPr>
        <w:tab/>
      </w:r>
      <w:hyperlink r:id="rId180">
        <w:r>
          <w:rPr>
            <w:rFonts w:ascii="Times New Roman" w:cs="Times New Roman" w:eastAsia="Times New Roman" w:hAnsi="Times New Roman"/>
            <w:sz w:val="16"/>
            <w:szCs w:val="16"/>
            <w:u w:val="single" w:color="auto"/>
            <w:color w:val="0000FF"/>
          </w:rPr>
          <w:t>INTL FCStone Inc. 2016 Executive Performance Plan (incorporated by reference from the Company’s Proxy Statement on Form 14A filed with the SEC on</w:t>
        </w:r>
      </w:hyperlink>
      <w:r>
        <w:rPr>
          <w:rFonts w:ascii="Times New Roman" w:cs="Times New Roman" w:eastAsia="Times New Roman" w:hAnsi="Times New Roman"/>
          <w:sz w:val="16"/>
          <w:szCs w:val="16"/>
          <w:u w:val="single" w:color="auto"/>
          <w:color w:val="0000FF"/>
        </w:rPr>
        <w:t xml:space="preserve"> </w:t>
      </w:r>
      <w:hyperlink r:id="rId180">
        <w:r>
          <w:rPr>
            <w:rFonts w:ascii="Times New Roman" w:cs="Times New Roman" w:eastAsia="Times New Roman" w:hAnsi="Times New Roman"/>
            <w:sz w:val="16"/>
            <w:szCs w:val="16"/>
            <w:u w:val="single" w:color="auto"/>
            <w:color w:val="0000FF"/>
          </w:rPr>
          <w:t>January 15, 2016).</w:t>
        </w:r>
      </w:hyperlink>
    </w:p>
    <w:p>
      <w:pPr>
        <w:spacing w:after="0" w:line="56" w:lineRule="exact"/>
        <w:rPr>
          <w:sz w:val="20"/>
          <w:szCs w:val="20"/>
          <w:color w:val="auto"/>
        </w:rPr>
      </w:pPr>
    </w:p>
    <w:p>
      <w:pPr>
        <w:ind w:left="800" w:right="4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w:t>
      </w:r>
      <w:r>
        <w:rPr>
          <w:sz w:val="20"/>
          <w:szCs w:val="20"/>
          <w:color w:val="auto"/>
        </w:rPr>
        <w:tab/>
      </w:r>
      <w:hyperlink r:id="rId180">
        <w:r>
          <w:rPr>
            <w:rFonts w:ascii="Times New Roman" w:cs="Times New Roman" w:eastAsia="Times New Roman" w:hAnsi="Times New Roman"/>
            <w:sz w:val="16"/>
            <w:szCs w:val="16"/>
            <w:u w:val="single" w:color="auto"/>
            <w:color w:val="0000FF"/>
          </w:rPr>
          <w:t>INTL FCStone Inc. 2016 Long-Term Performance Incentive Plan (incorporated by reference from the Company’s Proxy Statement on Form 14A filed with the</w:t>
        </w:r>
      </w:hyperlink>
      <w:r>
        <w:rPr>
          <w:rFonts w:ascii="Times New Roman" w:cs="Times New Roman" w:eastAsia="Times New Roman" w:hAnsi="Times New Roman"/>
          <w:sz w:val="16"/>
          <w:szCs w:val="16"/>
          <w:u w:val="single" w:color="auto"/>
          <w:color w:val="0000FF"/>
        </w:rPr>
        <w:t xml:space="preserve"> </w:t>
      </w:r>
      <w:hyperlink r:id="rId180">
        <w:r>
          <w:rPr>
            <w:rFonts w:ascii="Times New Roman" w:cs="Times New Roman" w:eastAsia="Times New Roman" w:hAnsi="Times New Roman"/>
            <w:sz w:val="16"/>
            <w:szCs w:val="16"/>
            <w:u w:val="single" w:color="auto"/>
            <w:color w:val="0000FF"/>
          </w:rPr>
          <w:t>SEC on January 15, 2016).</w:t>
        </w:r>
      </w:hyperlink>
    </w:p>
    <w:p>
      <w:pPr>
        <w:spacing w:after="0" w:line="56" w:lineRule="exact"/>
        <w:rPr>
          <w:sz w:val="20"/>
          <w:szCs w:val="20"/>
          <w:color w:val="auto"/>
        </w:rPr>
      </w:pPr>
    </w:p>
    <w:p>
      <w:pPr>
        <w:ind w:left="38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w:t>
      </w:r>
      <w:r>
        <w:rPr>
          <w:sz w:val="20"/>
          <w:szCs w:val="20"/>
          <w:color w:val="auto"/>
        </w:rPr>
        <w:tab/>
      </w:r>
      <w:hyperlink r:id="rId181">
        <w:r>
          <w:rPr>
            <w:rFonts w:ascii="Times New Roman" w:cs="Times New Roman" w:eastAsia="Times New Roman" w:hAnsi="Times New Roman"/>
            <w:sz w:val="16"/>
            <w:szCs w:val="16"/>
            <w:u w:val="single" w:color="auto"/>
            <w:color w:val="0000FF"/>
          </w:rPr>
          <w:t>2017 Restricted Stock Plan (incorporated by reference from the Company’s Proxy Statement on Form 14A filed with the SEC on January 13, 2017).</w:t>
        </w:r>
      </w:hyperlink>
    </w:p>
    <w:p>
      <w:pPr>
        <w:spacing w:after="0" w:line="86" w:lineRule="exact"/>
        <w:rPr>
          <w:sz w:val="20"/>
          <w:szCs w:val="20"/>
          <w:color w:val="auto"/>
        </w:rPr>
      </w:pPr>
    </w:p>
    <w:p>
      <w:pPr>
        <w:ind w:left="800" w:right="100" w:hanging="426"/>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10.9</w:t>
      </w:r>
      <w:r>
        <w:rPr>
          <w:sz w:val="20"/>
          <w:szCs w:val="20"/>
          <w:color w:val="auto"/>
        </w:rPr>
        <w:tab/>
      </w:r>
      <w:hyperlink r:id="rId182">
        <w:r>
          <w:rPr>
            <w:rFonts w:ascii="Times New Roman" w:cs="Times New Roman" w:eastAsia="Times New Roman" w:hAnsi="Times New Roman"/>
            <w:sz w:val="16"/>
            <w:szCs w:val="16"/>
            <w:u w:val="single" w:color="auto"/>
            <w:color w:val="0000FF"/>
          </w:rPr>
          <w:t>Farmers Commodities Corporation Supplemental Nonqualified Pension Plan (incorporated by reference from Amendment No. 2 to the Registration Statement</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on Form S-4 filed by FCStone Group, Inc. with the SEC on December 9, 2004)</w:t>
        </w:r>
      </w:hyperlink>
    </w:p>
    <w:p>
      <w:pPr>
        <w:spacing w:after="0" w:line="56" w:lineRule="exact"/>
        <w:rPr>
          <w:sz w:val="20"/>
          <w:szCs w:val="20"/>
          <w:color w:val="auto"/>
        </w:rPr>
      </w:pPr>
    </w:p>
    <w:p>
      <w:pPr>
        <w:ind w:left="800" w:right="120" w:hanging="507"/>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10.10</w:t>
      </w:r>
      <w:r>
        <w:rPr>
          <w:sz w:val="20"/>
          <w:szCs w:val="20"/>
          <w:color w:val="auto"/>
        </w:rPr>
        <w:tab/>
      </w:r>
      <w:hyperlink r:id="rId183">
        <w:r>
          <w:rPr>
            <w:rFonts w:ascii="Times New Roman" w:cs="Times New Roman" w:eastAsia="Times New Roman" w:hAnsi="Times New Roman"/>
            <w:sz w:val="16"/>
            <w:szCs w:val="16"/>
            <w:u w:val="single" w:color="auto"/>
            <w:color w:val="0000FF"/>
          </w:rPr>
          <w:t>Form of Director Indemnification Agreement (incorporated by reference from Amendment No. 3 to the Registration Statement on Form S-4 filed by FCStone</w:t>
        </w:r>
      </w:hyperlink>
      <w:r>
        <w:rPr>
          <w:rFonts w:ascii="Times New Roman" w:cs="Times New Roman" w:eastAsia="Times New Roman" w:hAnsi="Times New Roman"/>
          <w:sz w:val="16"/>
          <w:szCs w:val="16"/>
          <w:u w:val="single" w:color="auto"/>
          <w:color w:val="0000FF"/>
        </w:rPr>
        <w:t xml:space="preserve"> </w:t>
      </w:r>
      <w:hyperlink r:id="rId183">
        <w:r>
          <w:rPr>
            <w:rFonts w:ascii="Times New Roman" w:cs="Times New Roman" w:eastAsia="Times New Roman" w:hAnsi="Times New Roman"/>
            <w:sz w:val="16"/>
            <w:szCs w:val="16"/>
            <w:u w:val="single" w:color="auto"/>
            <w:color w:val="0000FF"/>
          </w:rPr>
          <w:t>Group, Inc. with the SEC on December 30, 2004)</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0" w:right="80" w:hanging="501"/>
        <w:spacing w:after="0" w:line="223"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10.11</w:t>
      </w:r>
      <w:r>
        <w:rPr>
          <w:sz w:val="20"/>
          <w:szCs w:val="20"/>
          <w:color w:val="auto"/>
        </w:rPr>
        <w:tab/>
      </w:r>
      <w:hyperlink r:id="rId185">
        <w:r>
          <w:rPr>
            <w:rFonts w:ascii="Times New Roman" w:cs="Times New Roman" w:eastAsia="Times New Roman" w:hAnsi="Times New Roman"/>
            <w:sz w:val="16"/>
            <w:szCs w:val="16"/>
            <w:u w:val="single" w:color="auto"/>
            <w:color w:val="0000FF"/>
          </w:rPr>
          <w:t>Amended and Restated Credit Agreement made as of February 22, 2019 by and between INTL FCStone Inc. as Borrower, Bank of America, N.A., as</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Administrative Agent, Swing Line Lender and L/C Issuer, Bank of America Merrill Lynch and Capital One, National Association, as Joint Lead Arrangers and</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Joint Bookrunners, and Signature Bank, BMO Harris Bank N.A., BankUnited, N.A., CIBC Bank USA, Barclays Bank PLC, Cadence Bank, N.A., The</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Huntington National Bank, Webster Bank, National Association, and TriState Capital Bank, as additional Lenders, and with the lenders from time to time</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parties thereto. (incorporated by reference from the Company’s Report on Form 8-K filed with the SEC on February 27, 2019).</w:t>
        </w:r>
      </w:hyperlink>
    </w:p>
    <w:p>
      <w:pPr>
        <w:spacing w:after="0" w:line="306" w:lineRule="exact"/>
        <w:rPr>
          <w:rFonts w:ascii="Times New Roman" w:cs="Times New Roman" w:eastAsia="Times New Roman" w:hAnsi="Times New Roman"/>
          <w:sz w:val="16"/>
          <w:szCs w:val="16"/>
          <w:u w:val="single" w:color="auto"/>
          <w:color w:val="0000FF"/>
        </w:rPr>
      </w:pPr>
    </w:p>
    <w:p>
      <w:pPr>
        <w:ind w:left="800" w:right="140" w:hanging="507"/>
        <w:spacing w:after="0" w:line="232"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10.12</w:t>
      </w:r>
      <w:r>
        <w:rPr>
          <w:sz w:val="20"/>
          <w:szCs w:val="20"/>
          <w:color w:val="auto"/>
        </w:rPr>
        <w:tab/>
      </w:r>
      <w:hyperlink r:id="rId186">
        <w:r>
          <w:rPr>
            <w:rFonts w:ascii="Times New Roman" w:cs="Times New Roman" w:eastAsia="Times New Roman" w:hAnsi="Times New Roman"/>
            <w:sz w:val="16"/>
            <w:szCs w:val="16"/>
            <w:u w:val="single" w:color="auto"/>
            <w:color w:val="0000FF"/>
          </w:rPr>
          <w:t>Lender Joinder Agreement dated as of October 3, 2019, to the Amended and Restated Credit Agreement, dated as of February 22, 2019 by and between INTL</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FCStone Inc. as Borrower, the Lenders from time to time party thereto and Bank of America, N.A., as Administrative Agent, Swing Line Lender and L/C</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Issuer, by and among Bank of Hope, as New Lender, INTL FCStone Inc., as Borrower, and Bank of America, N.A., as Administrative Agent.*</w:t>
        </w:r>
      </w:hyperlink>
    </w:p>
    <w:p>
      <w:pPr>
        <w:spacing w:after="0" w:line="60" w:lineRule="exact"/>
        <w:rPr>
          <w:rFonts w:ascii="Times New Roman" w:cs="Times New Roman" w:eastAsia="Times New Roman" w:hAnsi="Times New Roman"/>
          <w:sz w:val="16"/>
          <w:szCs w:val="16"/>
          <w:u w:val="single" w:color="auto"/>
          <w:color w:val="0000FF"/>
        </w:rPr>
      </w:pPr>
    </w:p>
    <w:p>
      <w:pPr>
        <w:ind w:left="800" w:hanging="507"/>
        <w:spacing w:after="0" w:line="232"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10.13</w:t>
      </w:r>
      <w:r>
        <w:rPr>
          <w:sz w:val="20"/>
          <w:szCs w:val="20"/>
          <w:color w:val="auto"/>
        </w:rPr>
        <w:tab/>
      </w:r>
      <w:hyperlink r:id="rId187">
        <w:r>
          <w:rPr>
            <w:rFonts w:ascii="Times New Roman" w:cs="Times New Roman" w:eastAsia="Times New Roman" w:hAnsi="Times New Roman"/>
            <w:sz w:val="16"/>
            <w:szCs w:val="16"/>
            <w:u w:val="single" w:color="auto"/>
            <w:color w:val="0000FF"/>
          </w:rPr>
          <w:t>Lender Joinder Agreement dated as of November 20, 2019, to the Amended and Restated Credit Agreement, dated as of February 22, 2019 by and between</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INTL FCStone Inc. as Borrower, the Lenders from time to time party thereto and Bank of America, N.A., as Administrative Agent, Swing Line Lender and L/C</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Issuer, by and among Investors Bank, as New Lender, INTL FCStone Inc., as Borrower, and Bank of America, N.A., as Administrative Agent.*</w:t>
        </w:r>
      </w:hyperlink>
    </w:p>
    <w:p>
      <w:pPr>
        <w:spacing w:after="0" w:line="60" w:lineRule="exact"/>
        <w:rPr>
          <w:rFonts w:ascii="Times New Roman" w:cs="Times New Roman" w:eastAsia="Times New Roman" w:hAnsi="Times New Roman"/>
          <w:sz w:val="16"/>
          <w:szCs w:val="16"/>
          <w:u w:val="single" w:color="auto"/>
          <w:color w:val="0000FF"/>
        </w:rPr>
      </w:pPr>
    </w:p>
    <w:p>
      <w:pPr>
        <w:ind w:left="800" w:right="300" w:hanging="507"/>
        <w:spacing w:after="0" w:line="232"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10.14</w:t>
      </w:r>
      <w:r>
        <w:rPr>
          <w:sz w:val="20"/>
          <w:szCs w:val="20"/>
          <w:color w:val="auto"/>
        </w:rPr>
        <w:tab/>
      </w:r>
      <w:hyperlink r:id="rId188">
        <w:r>
          <w:rPr>
            <w:rFonts w:ascii="Times New Roman" w:cs="Times New Roman" w:eastAsia="Times New Roman" w:hAnsi="Times New Roman"/>
            <w:sz w:val="16"/>
            <w:szCs w:val="16"/>
            <w:u w:val="single" w:color="auto"/>
            <w:color w:val="0000FF"/>
          </w:rPr>
          <w:t>Amended and Restated Credit Agreement, made as of June 21, 2010, by and between FCStone, LLC, as borrower, FCStone Group, Inc., as a guarantor,</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International Assets Holding Corporation, as a guarantor, Bank of Montreal, as administrative agent, BMO Capital Markets, as Sole Lead Arranger, and the</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lenders party thereto (incorporated by reference from the Company’s Current Report on Form 8-K filed with the SEC on June 24, 2010).</w:t>
        </w:r>
      </w:hyperlink>
    </w:p>
    <w:p>
      <w:pPr>
        <w:spacing w:after="0" w:line="60" w:lineRule="exact"/>
        <w:rPr>
          <w:rFonts w:ascii="Times New Roman" w:cs="Times New Roman" w:eastAsia="Times New Roman" w:hAnsi="Times New Roman"/>
          <w:sz w:val="16"/>
          <w:szCs w:val="16"/>
          <w:u w:val="single" w:color="auto"/>
          <w:color w:val="0000FF"/>
        </w:rPr>
      </w:pPr>
    </w:p>
    <w:p>
      <w:pPr>
        <w:ind w:left="800" w:right="860" w:hanging="507"/>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10.15</w:t>
      </w:r>
      <w:r>
        <w:rPr>
          <w:sz w:val="20"/>
          <w:szCs w:val="20"/>
          <w:color w:val="auto"/>
        </w:rPr>
        <w:tab/>
      </w:r>
      <w:hyperlink r:id="rId189">
        <w:r>
          <w:rPr>
            <w:rFonts w:ascii="Times New Roman" w:cs="Times New Roman" w:eastAsia="Times New Roman" w:hAnsi="Times New Roman"/>
            <w:sz w:val="16"/>
            <w:szCs w:val="16"/>
            <w:u w:val="single" w:color="auto"/>
            <w:color w:val="0000FF"/>
          </w:rPr>
          <w:t>Loan Authorization Agreement entered into as of May 5, 2015, by and between FCStone, LLC, as Borrower, and BMO Harris Bank N.A., as Bank</w:t>
        </w:r>
      </w:hyperlink>
      <w:r>
        <w:rPr>
          <w:rFonts w:ascii="Times New Roman" w:cs="Times New Roman" w:eastAsia="Times New Roman" w:hAnsi="Times New Roman"/>
          <w:sz w:val="16"/>
          <w:szCs w:val="16"/>
          <w:u w:val="single" w:color="auto"/>
          <w:color w:val="0000FF"/>
        </w:rPr>
        <w:t xml:space="preserve"> </w:t>
      </w:r>
      <w:hyperlink r:id="rId189">
        <w:r>
          <w:rPr>
            <w:rFonts w:ascii="Times New Roman" w:cs="Times New Roman" w:eastAsia="Times New Roman" w:hAnsi="Times New Roman"/>
            <w:sz w:val="16"/>
            <w:szCs w:val="16"/>
            <w:u w:val="single" w:color="auto"/>
            <w:color w:val="0000FF"/>
          </w:rPr>
          <w:t>(incorporated by reference from the Company’s Current Report on Form 8-K filed with the SEC on May 8, 2015).</w:t>
        </w:r>
      </w:hyperlink>
    </w:p>
    <w:p>
      <w:pPr>
        <w:spacing w:after="0" w:line="56" w:lineRule="exact"/>
        <w:rPr>
          <w:sz w:val="20"/>
          <w:szCs w:val="20"/>
          <w:color w:val="auto"/>
        </w:rPr>
      </w:pPr>
    </w:p>
    <w:p>
      <w:pPr>
        <w:ind w:left="800" w:hanging="507"/>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10.16</w:t>
      </w:r>
      <w:r>
        <w:rPr>
          <w:sz w:val="20"/>
          <w:szCs w:val="20"/>
          <w:color w:val="auto"/>
        </w:rPr>
        <w:tab/>
      </w:r>
      <w:hyperlink r:id="rId190">
        <w:r>
          <w:rPr>
            <w:rFonts w:ascii="Times New Roman" w:cs="Times New Roman" w:eastAsia="Times New Roman" w:hAnsi="Times New Roman"/>
            <w:sz w:val="16"/>
            <w:szCs w:val="16"/>
            <w:u w:val="single" w:color="auto"/>
            <w:color w:val="0000FF"/>
          </w:rPr>
          <w:t>Reaffirmation and Assumption entered into as of June 30, 2015 with BMO Harris Bank N.A. (incorporated by reference from the Company’s Current Report on</w:t>
        </w:r>
      </w:hyperlink>
      <w:r>
        <w:rPr>
          <w:rFonts w:ascii="Times New Roman" w:cs="Times New Roman" w:eastAsia="Times New Roman" w:hAnsi="Times New Roman"/>
          <w:sz w:val="16"/>
          <w:szCs w:val="16"/>
          <w:u w:val="single" w:color="auto"/>
          <w:color w:val="0000FF"/>
        </w:rPr>
        <w:t xml:space="preserve"> </w:t>
      </w:r>
      <w:hyperlink r:id="rId190">
        <w:r>
          <w:rPr>
            <w:rFonts w:ascii="Times New Roman" w:cs="Times New Roman" w:eastAsia="Times New Roman" w:hAnsi="Times New Roman"/>
            <w:sz w:val="16"/>
            <w:szCs w:val="16"/>
            <w:u w:val="single" w:color="auto"/>
            <w:color w:val="0000FF"/>
          </w:rPr>
          <w:t>Form 8-K filed with the SEC on July 7, 2015).</w:t>
        </w:r>
      </w:hyperlink>
    </w:p>
    <w:p>
      <w:pPr>
        <w:spacing w:after="0" w:line="56" w:lineRule="exact"/>
        <w:rPr>
          <w:sz w:val="20"/>
          <w:szCs w:val="20"/>
          <w:color w:val="auto"/>
        </w:rPr>
      </w:pPr>
    </w:p>
    <w:p>
      <w:pPr>
        <w:ind w:left="800" w:right="260" w:hanging="507"/>
        <w:spacing w:after="0" w:line="245"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10.17</w:t>
      </w:r>
      <w:r>
        <w:rPr>
          <w:sz w:val="20"/>
          <w:szCs w:val="20"/>
          <w:color w:val="auto"/>
        </w:rPr>
        <w:tab/>
      </w:r>
      <w:hyperlink w:anchor="page139">
        <w:r>
          <w:rPr>
            <w:rFonts w:ascii="Times New Roman" w:cs="Times New Roman" w:eastAsia="Times New Roman" w:hAnsi="Times New Roman"/>
            <w:sz w:val="16"/>
            <w:szCs w:val="16"/>
            <w:u w:val="single" w:color="auto"/>
            <w:color w:val="0000FF"/>
          </w:rPr>
          <w:t>Seventeenth Amendment to Amended and Restated Credit Agreement entered into as of April 4, 2019 with Bank of Montreal, as Administrative Agent, and</w:t>
        </w:r>
      </w:hyperlink>
      <w:r>
        <w:rPr>
          <w:rFonts w:ascii="Times New Roman" w:cs="Times New Roman" w:eastAsia="Times New Roman" w:hAnsi="Times New Roman"/>
          <w:sz w:val="16"/>
          <w:szCs w:val="16"/>
          <w:u w:val="single" w:color="auto"/>
          <w:color w:val="0000FF"/>
        </w:rPr>
        <w:t xml:space="preserve"> </w:t>
      </w:r>
      <w:hyperlink w:anchor="page139">
        <w:r>
          <w:rPr>
            <w:rFonts w:ascii="Times New Roman" w:cs="Times New Roman" w:eastAsia="Times New Roman" w:hAnsi="Times New Roman"/>
            <w:sz w:val="16"/>
            <w:szCs w:val="16"/>
            <w:u w:val="single" w:color="auto"/>
            <w:color w:val="0000FF"/>
          </w:rPr>
          <w:t>BMO Harris Financing, Inc., as a lender party thereto. *</w:t>
        </w:r>
      </w:hyperlink>
    </w:p>
    <w:p>
      <w:pPr>
        <w:spacing w:after="0" w:line="56" w:lineRule="exact"/>
        <w:rPr>
          <w:sz w:val="20"/>
          <w:szCs w:val="20"/>
          <w:color w:val="auto"/>
        </w:rPr>
      </w:pPr>
    </w:p>
    <w:p>
      <w:pPr>
        <w:ind w:left="30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10.18</w:t>
      </w:r>
      <w:r>
        <w:rPr>
          <w:sz w:val="20"/>
          <w:szCs w:val="20"/>
          <w:color w:val="auto"/>
        </w:rPr>
        <w:tab/>
      </w:r>
      <w:hyperlink w:anchor="page142">
        <w:r>
          <w:rPr>
            <w:rFonts w:ascii="Times New Roman" w:cs="Times New Roman" w:eastAsia="Times New Roman" w:hAnsi="Times New Roman"/>
            <w:sz w:val="16"/>
            <w:szCs w:val="16"/>
            <w:u w:val="single" w:color="auto"/>
            <w:color w:val="0000FF"/>
          </w:rPr>
          <w:t xml:space="preserve">Second Amended and Restated Credit Agreement, entered into as of January </w:t>
        </w:r>
        <w:r>
          <w:rPr>
            <w:rFonts w:ascii="Times New Roman" w:cs="Times New Roman" w:eastAsia="Times New Roman" w:hAnsi="Times New Roman"/>
            <w:sz w:val="16"/>
            <w:szCs w:val="16"/>
            <w:color w:val="0000FF"/>
          </w:rPr>
          <w:t>29,</w:t>
        </w:r>
        <w:r>
          <w:rPr>
            <w:rFonts w:ascii="Times New Roman" w:cs="Times New Roman" w:eastAsia="Times New Roman" w:hAnsi="Times New Roman"/>
            <w:sz w:val="16"/>
            <w:szCs w:val="16"/>
            <w:u w:val="single" w:color="auto"/>
            <w:color w:val="0000FF"/>
          </w:rPr>
          <w:t xml:space="preserve"> 2020, by and among FCStone Merchant Services, LLC, as Borrower, INTL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28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 w:lineRule="exact"/>
        <w:rPr>
          <w:sz w:val="20"/>
          <w:szCs w:val="20"/>
          <w:color w:val="auto"/>
        </w:rPr>
      </w:pPr>
    </w:p>
    <w:p>
      <w:pPr>
        <w:ind w:left="800" w:right="40"/>
        <w:spacing w:after="0" w:line="257" w:lineRule="auto"/>
        <w:rPr>
          <w:rFonts w:ascii="Times New Roman" w:cs="Times New Roman" w:eastAsia="Times New Roman" w:hAnsi="Times New Roman"/>
          <w:sz w:val="16"/>
          <w:szCs w:val="16"/>
          <w:u w:val="single" w:color="auto"/>
          <w:color w:val="0000FF"/>
        </w:rPr>
      </w:pPr>
      <w:hyperlink w:anchor="page142">
        <w:r>
          <w:rPr>
            <w:rFonts w:ascii="Times New Roman" w:cs="Times New Roman" w:eastAsia="Times New Roman" w:hAnsi="Times New Roman"/>
            <w:sz w:val="16"/>
            <w:szCs w:val="16"/>
            <w:u w:val="single" w:color="auto"/>
            <w:color w:val="0000FF"/>
          </w:rPr>
          <w:t>FCStone Inc., as Guarantor, the several financial institutions from time to time party to</w:t>
        </w:r>
        <w:r>
          <w:rPr>
            <w:rFonts w:ascii="Times New Roman" w:cs="Times New Roman" w:eastAsia="Times New Roman" w:hAnsi="Times New Roman"/>
            <w:sz w:val="16"/>
            <w:szCs w:val="16"/>
            <w:color w:val="0000FF"/>
          </w:rPr>
          <w:t xml:space="preserve"> this </w:t>
        </w:r>
        <w:r>
          <w:rPr>
            <w:rFonts w:ascii="Times New Roman" w:cs="Times New Roman" w:eastAsia="Times New Roman" w:hAnsi="Times New Roman"/>
            <w:sz w:val="16"/>
            <w:szCs w:val="16"/>
            <w:u w:val="single" w:color="auto"/>
            <w:color w:val="0000FF"/>
          </w:rPr>
          <w:t>Agreement, as Lenders, and COÖPERATIEVE RABOBANK U.A.,</w:t>
        </w:r>
      </w:hyperlink>
      <w:r>
        <w:rPr>
          <w:rFonts w:ascii="Times New Roman" w:cs="Times New Roman" w:eastAsia="Times New Roman" w:hAnsi="Times New Roman"/>
          <w:sz w:val="16"/>
          <w:szCs w:val="16"/>
          <w:color w:val="0000FF"/>
        </w:rPr>
        <w:t xml:space="preserve"> </w:t>
      </w:r>
      <w:hyperlink w:anchor="page142">
        <w:r>
          <w:rPr>
            <w:rFonts w:ascii="Times New Roman" w:cs="Times New Roman" w:eastAsia="Times New Roman" w:hAnsi="Times New Roman"/>
            <w:sz w:val="16"/>
            <w:szCs w:val="16"/>
            <w:u w:val="single" w:color="auto"/>
            <w:color w:val="0000FF"/>
          </w:rPr>
          <w:t>NEW YORK BRANCH, as Administrative Agent. *</w:t>
        </w:r>
      </w:hyperlink>
    </w:p>
    <w:p>
      <w:pPr>
        <w:spacing w:after="0" w:line="60" w:lineRule="exact"/>
        <w:rPr>
          <w:sz w:val="20"/>
          <w:szCs w:val="20"/>
          <w:color w:val="auto"/>
        </w:rPr>
      </w:pPr>
    </w:p>
    <w:p>
      <w:pPr>
        <w:ind w:left="30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10.19</w:t>
      </w:r>
      <w:r>
        <w:rPr>
          <w:sz w:val="20"/>
          <w:szCs w:val="20"/>
          <w:color w:val="auto"/>
        </w:rPr>
        <w:tab/>
      </w:r>
      <w:hyperlink w:anchor="page269">
        <w:r>
          <w:rPr>
            <w:rFonts w:ascii="Times New Roman" w:cs="Times New Roman" w:eastAsia="Times New Roman" w:hAnsi="Times New Roman"/>
            <w:sz w:val="16"/>
            <w:szCs w:val="16"/>
            <w:u w:val="single" w:color="auto"/>
            <w:color w:val="0000FF"/>
          </w:rPr>
          <w:t>License Agreement, dated August 9, 2007, by and between GAIN Capital Group, LLC and MetaQuotes Software Corp. *</w:t>
        </w:r>
      </w:hyperlink>
    </w:p>
    <w:p>
      <w:pPr>
        <w:spacing w:after="0" w:line="86" w:lineRule="exact"/>
        <w:rPr>
          <w:sz w:val="20"/>
          <w:szCs w:val="20"/>
          <w:color w:val="auto"/>
        </w:rPr>
      </w:pPr>
    </w:p>
    <w:p>
      <w:pPr>
        <w:ind w:left="30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10.20</w:t>
      </w:r>
      <w:r>
        <w:rPr>
          <w:sz w:val="20"/>
          <w:szCs w:val="20"/>
          <w:color w:val="auto"/>
        </w:rPr>
        <w:tab/>
      </w:r>
      <w:hyperlink w:anchor="page275">
        <w:r>
          <w:rPr>
            <w:rFonts w:ascii="Times New Roman" w:cs="Times New Roman" w:eastAsia="Times New Roman" w:hAnsi="Times New Roman"/>
            <w:sz w:val="16"/>
            <w:szCs w:val="16"/>
            <w:u w:val="single" w:color="auto"/>
            <w:color w:val="0000FF"/>
          </w:rPr>
          <w:t>Form of Indemnification Agreement with Gain Capital Holdings Inc</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’s Non-Employee Directors.*</w:t>
        </w:r>
      </w:hyperlink>
    </w:p>
    <w:p>
      <w:pPr>
        <w:spacing w:after="0" w:line="86" w:lineRule="exact"/>
        <w:rPr>
          <w:sz w:val="20"/>
          <w:szCs w:val="20"/>
          <w:color w:val="auto"/>
        </w:rPr>
      </w:pPr>
    </w:p>
    <w:p>
      <w:pPr>
        <w:ind w:left="800" w:right="200" w:hanging="304"/>
        <w:spacing w:after="0" w:line="245" w:lineRule="auto"/>
        <w:tabs>
          <w:tab w:leader="none" w:pos="800" w:val="left"/>
        </w:tabs>
        <w:numPr>
          <w:ilvl w:val="0"/>
          <w:numId w:val="59"/>
        </w:numPr>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International Assets Holding Corporation Code of Ethics (incorporated by reference from the Company’s Form 10-KSB filed with the SEC on December 29,</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2003).</w:t>
        </w:r>
      </w:hyperlink>
    </w:p>
    <w:p>
      <w:pPr>
        <w:spacing w:after="0" w:line="52" w:lineRule="exact"/>
        <w:rPr>
          <w:rFonts w:ascii="Times New Roman" w:cs="Times New Roman" w:eastAsia="Times New Roman" w:hAnsi="Times New Roman"/>
          <w:sz w:val="16"/>
          <w:szCs w:val="16"/>
          <w:color w:val="auto"/>
        </w:rPr>
      </w:pPr>
    </w:p>
    <w:p>
      <w:pPr>
        <w:ind w:left="800" w:hanging="304"/>
        <w:spacing w:after="0"/>
        <w:tabs>
          <w:tab w:leader="none" w:pos="800" w:val="left"/>
        </w:tabs>
        <w:numPr>
          <w:ilvl w:val="0"/>
          <w:numId w:val="60"/>
        </w:numPr>
        <w:rPr>
          <w:rFonts w:ascii="Times New Roman" w:cs="Times New Roman" w:eastAsia="Times New Roman" w:hAnsi="Times New Roman"/>
          <w:sz w:val="18"/>
          <w:szCs w:val="18"/>
          <w:u w:val="single" w:color="auto"/>
          <w:color w:val="0000FF"/>
        </w:rPr>
      </w:pPr>
      <w:hyperlink w:anchor="page281">
        <w:r>
          <w:rPr>
            <w:rFonts w:ascii="Times New Roman" w:cs="Times New Roman" w:eastAsia="Times New Roman" w:hAnsi="Times New Roman"/>
            <w:sz w:val="18"/>
            <w:szCs w:val="18"/>
            <w:u w:val="single" w:color="auto"/>
            <w:color w:val="0000FF"/>
          </w:rPr>
          <w:t>List of the Company’s subsidiaries. *</w:t>
        </w:r>
      </w:hyperlink>
    </w:p>
    <w:p>
      <w:pPr>
        <w:spacing w:after="0" w:line="81" w:lineRule="exact"/>
        <w:rPr>
          <w:rFonts w:ascii="Times New Roman" w:cs="Times New Roman" w:eastAsia="Times New Roman" w:hAnsi="Times New Roman"/>
          <w:sz w:val="18"/>
          <w:szCs w:val="18"/>
          <w:u w:val="single" w:color="auto"/>
          <w:color w:val="0000FF"/>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hyperlink w:anchor="page283">
        <w:r>
          <w:rPr>
            <w:rFonts w:ascii="Times New Roman" w:cs="Times New Roman" w:eastAsia="Times New Roman" w:hAnsi="Times New Roman"/>
            <w:sz w:val="16"/>
            <w:szCs w:val="16"/>
            <w:u w:val="single" w:color="auto"/>
            <w:color w:val="0000FF"/>
          </w:rPr>
          <w:t>Consent of KPMG LLP *</w:t>
        </w:r>
      </w:hyperlink>
    </w:p>
    <w:p>
      <w:pPr>
        <w:spacing w:after="0" w:line="8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31.1  </w:t>
      </w:r>
      <w:hyperlink w:anchor="page284">
        <w:r>
          <w:rPr>
            <w:rFonts w:ascii="Times New Roman" w:cs="Times New Roman" w:eastAsia="Times New Roman" w:hAnsi="Times New Roman"/>
            <w:sz w:val="16"/>
            <w:szCs w:val="16"/>
            <w:u w:val="single" w:color="auto"/>
            <w:color w:val="0000FF"/>
          </w:rPr>
          <w:t>Certification of Chief Executive Officer, pursuant to Rule 13a—14(a). *</w:t>
        </w:r>
      </w:hyperlink>
    </w:p>
    <w:p>
      <w:pPr>
        <w:spacing w:after="0" w:line="8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31.2  </w:t>
      </w:r>
      <w:hyperlink w:anchor="page285">
        <w:r>
          <w:rPr>
            <w:rFonts w:ascii="Times New Roman" w:cs="Times New Roman" w:eastAsia="Times New Roman" w:hAnsi="Times New Roman"/>
            <w:sz w:val="16"/>
            <w:szCs w:val="16"/>
            <w:u w:val="single" w:color="auto"/>
            <w:color w:val="0000FF"/>
          </w:rPr>
          <w:t>Certification of Chief Financial Officer, pursuant to Rule 13a—14(a). *</w:t>
        </w:r>
      </w:hyperlink>
    </w:p>
    <w:p>
      <w:pPr>
        <w:spacing w:after="0" w:line="8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32.1  </w:t>
      </w:r>
      <w:hyperlink w:anchor="page286">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906 of the Sarbanes-Oxley Act of 2002. *</w:t>
        </w:r>
      </w:hyperlink>
    </w:p>
    <w:p>
      <w:pPr>
        <w:spacing w:after="0" w:line="86" w:lineRule="exact"/>
        <w:rPr>
          <w:rFonts w:ascii="Times New Roman" w:cs="Times New Roman" w:eastAsia="Times New Roman" w:hAnsi="Times New Roman"/>
          <w:sz w:val="16"/>
          <w:szCs w:val="16"/>
          <w:color w:val="auto"/>
        </w:rPr>
      </w:pPr>
    </w:p>
    <w:p>
      <w:pPr>
        <w:ind w:left="580" w:right="660" w:hanging="203"/>
        <w:spacing w:after="0" w:line="3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32.2 </w:t>
      </w:r>
      <w:hyperlink w:anchor="page287">
        <w:r>
          <w:rPr>
            <w:rFonts w:ascii="Times New Roman" w:cs="Times New Roman" w:eastAsia="Times New Roman" w:hAnsi="Times New Roman"/>
            <w:sz w:val="16"/>
            <w:szCs w:val="16"/>
            <w:u w:val="single" w:color="auto"/>
            <w:color w:val="0000FF"/>
          </w:rPr>
          <w:t>Certification of Chief Financial Officer, pursuant to 18 U.S.C. Section 1350, as adopted pursuant to Section 906 of the Sarbanes-Oxley Act of 2002. *</w:t>
        </w:r>
      </w:hyperlink>
      <w:r>
        <w:rPr>
          <w:rFonts w:ascii="Times New Roman" w:cs="Times New Roman" w:eastAsia="Times New Roman" w:hAnsi="Times New Roman"/>
          <w:sz w:val="16"/>
          <w:szCs w:val="16"/>
          <w:color w:val="auto"/>
        </w:rPr>
        <w:t xml:space="preserve"> * Filed as part of this report.</w:t>
      </w:r>
    </w:p>
    <w:p>
      <w:pPr>
        <w:spacing w:after="0" w:line="1"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Schedules and Exhibits Excluded</w:t>
      </w:r>
    </w:p>
    <w:p>
      <w:pPr>
        <w:spacing w:after="0" w:line="106" w:lineRule="exact"/>
        <w:rPr>
          <w:rFonts w:ascii="Times New Roman" w:cs="Times New Roman" w:eastAsia="Times New Roman" w:hAnsi="Times New Roman"/>
          <w:sz w:val="16"/>
          <w:szCs w:val="16"/>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schedules and exhibits not included are not applicable, not required or would contain information which is included in the Consolidated Financial Statements, Summary of Significant Accounting Policies, or the Notes to the Consolidated Financial Statements.</w:t>
      </w:r>
    </w:p>
    <w:p>
      <w:pPr>
        <w:spacing w:after="0" w:line="200" w:lineRule="exact"/>
        <w:rPr>
          <w:rFonts w:ascii="Times New Roman" w:cs="Times New Roman" w:eastAsia="Times New Roman" w:hAnsi="Times New Roman"/>
          <w:sz w:val="16"/>
          <w:szCs w:val="16"/>
          <w:color w:val="auto"/>
        </w:rPr>
      </w:pPr>
    </w:p>
    <w:p>
      <w:pPr>
        <w:spacing w:after="0" w:line="394"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StoneX Group Inc.</w:t>
      </w:r>
    </w:p>
    <w:p>
      <w:pPr>
        <w:spacing w:after="0" w:line="29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2468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Sean M. O’Connor</w:t>
      </w:r>
    </w:p>
    <w:p>
      <w:pPr>
        <w:spacing w:after="0" w:line="2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8" w:lineRule="exact"/>
        <w:rPr>
          <w:sz w:val="20"/>
          <w:szCs w:val="20"/>
          <w:color w:val="auto"/>
        </w:rPr>
      </w:pPr>
    </w:p>
    <w:p>
      <w:pPr>
        <w:ind w:left="5560"/>
        <w:spacing w:after="0"/>
        <w:tabs>
          <w:tab w:leader="none" w:pos="646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December 14, 2020</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1720"/>
        <w:spacing w:after="0"/>
        <w:tabs>
          <w:tab w:leader="none" w:pos="6540" w:val="left"/>
          <w:tab w:leader="none" w:pos="1014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RADZIWILL</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Board</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Radziwill</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SEAN M. O’CONNOR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President and Chief Executive Officer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90"/>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Sean M. O’Connor</w:t>
            </w:r>
          </w:p>
        </w:tc>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ANNABELLE G. BEXIGA</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Annabelle G. Bexiga</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SCOTT J. BRANCH</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J. Branch</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DIANE L. COOPER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Diane L. Cooper</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M. FOWLER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M. Fowler</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KASS</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Kass</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BRUCE KREHBIEL</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Bruce Krehbiel</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ERIC PARTHEMORE</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Parthemore</w:t>
            </w: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WILLIAM J. DUNAWAY</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3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December 14, 2020</w:t>
            </w:r>
          </w:p>
        </w:tc>
      </w:tr>
      <w:tr>
        <w:trPr>
          <w:trHeight w:val="190"/>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J. Dunaway</w:t>
            </w:r>
          </w:p>
        </w:tc>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tc>
        <w:tc>
          <w:tcPr>
            <w:tcW w:w="23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80"/>
          </w:cols>
          <w:pgMar w:left="320" w:top="121" w:right="3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00" w:lineRule="exact"/>
        <w:rPr>
          <w:sz w:val="20"/>
          <w:szCs w:val="20"/>
          <w:color w:val="auto"/>
        </w:rPr>
      </w:pPr>
    </w:p>
    <w:p>
      <w:pPr>
        <w:spacing w:after="0" w:line="35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December 14, 2020, StoneX Group Inc., a Delaware corporation (hereinafter, the “Company”), had one class of securities registered pursuant to Section 12 of the U.S. Securities Exchange Act of 1934, as amended: Common Stock, par value $0.01 per share (the “Common Stock”). The following summary includes a brief description of the Common Stock, as well as certain related additional information.</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Company has authority to issue 30,000,000 shares of Common Stock, and 1,000,000 shares of preferred stock, par value $0.01 per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issuable in one or more series from time to time by resolution of the Company’s Board of Directors (the “Board”).</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of record and are vested with all of the voting power, except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may provide in the future with respect to any class or series of Preferred Stock that it may authorize in the future. Any action to be taken at a meeting of the stockholders may be taken without a meeting by written consent.</w:t>
      </w:r>
    </w:p>
    <w:p>
      <w:pPr>
        <w:spacing w:after="0" w:line="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Holders of Common Stock are entitled to receive dividends when, as, and if declared by the Board out of any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subject to the preferences applicable to any shares of Preferred Stock outstanding at the time.</w:t>
      </w:r>
    </w:p>
    <w:p>
      <w:pPr>
        <w:spacing w:after="0" w:line="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Preemption, Conversion or Redemption Rights; No Sinking Fund Provisions. </w:t>
      </w:r>
      <w:r>
        <w:rPr>
          <w:rFonts w:ascii="Times New Roman" w:cs="Times New Roman" w:eastAsia="Times New Roman" w:hAnsi="Times New Roman"/>
          <w:sz w:val="18"/>
          <w:szCs w:val="18"/>
          <w:color w:val="auto"/>
        </w:rPr>
        <w:t>Shares of Common Stock are not redeemable and have no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or preemption rights. There are no sinking fund provisions.</w:t>
      </w:r>
    </w:p>
    <w:p>
      <w:pPr>
        <w:spacing w:after="0" w:line="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to Receive Liquidation Distributions. </w:t>
      </w:r>
      <w:r>
        <w:rPr>
          <w:rFonts w:ascii="Times New Roman" w:cs="Times New Roman" w:eastAsia="Times New Roman" w:hAnsi="Times New Roman"/>
          <w:sz w:val="18"/>
          <w:szCs w:val="18"/>
          <w:color w:val="auto"/>
        </w:rPr>
        <w:t>Holders of Common Stock are entitled, upon liquidation, to share ratably in all assets remaining after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liabilities.</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Effects of the Certificate of Incorporation and Bylaws. </w:t>
      </w:r>
      <w:r>
        <w:rPr>
          <w:rFonts w:ascii="Times New Roman" w:cs="Times New Roman" w:eastAsia="Times New Roman" w:hAnsi="Times New Roman"/>
          <w:sz w:val="18"/>
          <w:szCs w:val="18"/>
          <w:color w:val="auto"/>
        </w:rPr>
        <w:t>The provisions of the Company’s Certificate of Incorporation, as amended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and Amended and Restated Bylaws (the “Bylaws”) described below may have the effect of delaying, deferring or preventing a change in control of the Company:</w:t>
      </w:r>
    </w:p>
    <w:p>
      <w:pPr>
        <w:spacing w:after="0" w:line="67"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may adopt, amend or repeal bylaws without stockholder approval;</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specify advance notice procedures that stockholders must follow in order to bring business at an annual or special meeting of stockholders, and proxy access procedures for director nominations at annual meetings;</w:t>
      </w:r>
    </w:p>
    <w:p>
      <w:pPr>
        <w:spacing w:after="0" w:line="5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provide that the Secretary of the Company shall call a special meeting of stockholders upon the written request of a stockholder, or group of stockholders, owning not less than 20% of the outstanding capital stock of the Company, provided that the stockholder or stockholders satisfy the procedural requirements specified in the Bylaws;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otherwise limit the ability to call special meetings of stockholders to the President or a majority of the Board;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the Board can be filled by a majority vote of the remaining members of the Board, even where less than a quorum, or by decision of a sole remaining director, or, upon application by a stockholder or stockholders holding at least 10% of the shares currently outstanding to the Court of Chancery, by a vote of the stockholders required for the election of directors generally, if the remaining members of the Board constitute less than a majority of the Board;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authorized to issue Preferred Stock without stockholder approval; and</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incorporated in Delaware and is thus subject to the provisions of the General Corporation Law of the State of Delaware (the “DGCL”), including Section 203 of the DGCL regarding business combinations with an interested stockholder.</w:t>
      </w:r>
    </w:p>
    <w:p>
      <w:pPr>
        <w:spacing w:after="0" w:line="52"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i w:val="1"/>
          <w:iCs w:val="1"/>
          <w:color w:val="auto"/>
        </w:rPr>
        <w:t>The foregoing summary does not purport to be complete and is subject to, and qualified in its entirety by, the full text of the Certificate of Incorporation and Bylaws. For additional information we encourage you to read the Certificate of Incorporation and Bylaws, including amendments, all of which are exhibits to the Company’s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and applicable provisions of the DGCL.</w:t>
      </w:r>
    </w:p>
    <w:p>
      <w:pPr>
        <w:sectPr>
          <w:pgSz w:w="11900" w:h="16838" w:orient="portrait"/>
          <w:cols w:equalWidth="0" w:num="1">
            <w:col w:w="11240"/>
          </w:cols>
          <w:pgMar w:left="320" w:top="88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auto"/>
        </w:rPr>
        <w:t>Exhibit 10.17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Seventeenth Amendment To Amended and Restated Credit Agreement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This Seventeenth Amendment to Amended and Restated Credit Agreement (herein, the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entered into as of April 3, 2020, by and among INTL FCStone Financial Inc., a Florida corporation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the Guarantors party to this Amendment, the financial institutions party to this Amendment, as lenders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and Bank of Montreal, as administrative agent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Preliminary Statements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 The Borrower, the Guarantors, the Lenders and the Administrative Agent entered into a certain Amended and Restated Credit Agreement dated as of June 21, 2010, as amended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All capitalized terms used herein without definition shall have the same meanings herein as such terms have in the Credit Agreement.</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 The Borrower has requested that the Lenders amend the Credit Agreement, and the Lenders are willing to do so under the terms and conditions set forth in this Amendment.</w:t>
      </w:r>
    </w:p>
    <w:p>
      <w:pPr>
        <w:spacing w:after="0" w:line="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Section 1. Amendments.</w:t>
      </w:r>
    </w:p>
    <w:p>
      <w:pPr>
        <w:spacing w:after="0" w:line="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Subject to the satisfaction of the conditions precedent set forth in Section 2 below, the Credit Agreement shall be and hereby is amended as follows:</w:t>
      </w:r>
    </w:p>
    <w:p>
      <w:pPr>
        <w:spacing w:after="0" w:line="4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 The defined terms </w:t>
      </w:r>
      <w:r>
        <w:rPr>
          <w:rFonts w:ascii="Times New Roman" w:cs="Times New Roman" w:eastAsia="Times New Roman" w:hAnsi="Times New Roman"/>
          <w:sz w:val="22"/>
          <w:szCs w:val="22"/>
          <w:i w:val="1"/>
          <w:iCs w:val="1"/>
          <w:color w:val="auto"/>
        </w:rPr>
        <w:t>“Base Rate”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 xml:space="preserve"> appearing in Section 5.1 of the Credit Agreement shall be amended and restated to read in their entirety as follows:</w:t>
      </w:r>
    </w:p>
    <w:p>
      <w:pPr>
        <w:spacing w:after="0" w:line="4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“Base Rate” </w:t>
      </w:r>
      <w:r>
        <w:rPr>
          <w:rFonts w:ascii="Times New Roman" w:cs="Times New Roman" w:eastAsia="Times New Roman" w:hAnsi="Times New Roman"/>
          <w:sz w:val="22"/>
          <w:szCs w:val="22"/>
          <w:color w:val="auto"/>
        </w:rPr>
        <w:t>means, for any day, the rate per annum equal to the greatest of: (a) the rate of interest announced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Federal Funds Rate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1/2 of 1%, (c) the LIBOR Quoted Rate for such day</w:t>
      </w:r>
      <w:r>
        <w:rPr>
          <w:rFonts w:ascii="Times New Roman" w:cs="Times New Roman" w:eastAsia="Times New Roman" w:hAnsi="Times New Roman"/>
          <w:sz w:val="22"/>
          <w:szCs w:val="22"/>
          <w:i w:val="1"/>
          <w:iCs w:val="1"/>
          <w:color w:val="auto"/>
        </w:rPr>
        <w:t xml:space="preserve"> plus </w:t>
      </w:r>
      <w:r>
        <w:rPr>
          <w:rFonts w:ascii="Times New Roman" w:cs="Times New Roman" w:eastAsia="Times New Roman" w:hAnsi="Times New Roman"/>
          <w:sz w:val="22"/>
          <w:szCs w:val="22"/>
          <w:color w:val="auto"/>
        </w:rPr>
        <w:t>1.00%, and (d) 0.00%. The foregoing notwithstanding,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LIBOR Quoted Rate is not available for any reason, then the Base Rate shall be the greater of clause (a) and (b) above and shall not be determined without reference to clause (c) above.</w:t>
      </w:r>
    </w:p>
    <w:p>
      <w:pPr>
        <w:spacing w:after="0" w:line="7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“Termination Date” </w:t>
      </w:r>
      <w:r>
        <w:rPr>
          <w:rFonts w:ascii="Times New Roman" w:cs="Times New Roman" w:eastAsia="Times New Roman" w:hAnsi="Times New Roman"/>
          <w:sz w:val="22"/>
          <w:szCs w:val="22"/>
          <w:color w:val="auto"/>
        </w:rPr>
        <w:t>means April 2, 2021 or such earlier date on which the Commitments are terminated in whole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1.10, 9.2 or 9.3 hereof.</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 Section 8.21(a) of the Credit Agreement shall be amended and restated to read in its entirety as follows:</w:t>
      </w:r>
    </w:p>
    <w:p>
      <w:pPr>
        <w:spacing w:after="0" w:line="94" w:lineRule="exact"/>
        <w:rPr>
          <w:sz w:val="20"/>
          <w:szCs w:val="20"/>
          <w:color w:val="auto"/>
        </w:rPr>
      </w:pPr>
    </w:p>
    <w:p>
      <w:pPr>
        <w:ind w:left="660" w:right="260" w:firstLine="644"/>
        <w:spacing w:after="0" w:line="350" w:lineRule="auto"/>
        <w:tabs>
          <w:tab w:leader="none" w:pos="160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Tangible Net Worth. </w:t>
      </w:r>
      <w:r>
        <w:rPr>
          <w:rFonts w:ascii="Times New Roman" w:cs="Times New Roman" w:eastAsia="Times New Roman" w:hAnsi="Times New Roman"/>
          <w:sz w:val="21"/>
          <w:szCs w:val="21"/>
          <w:color w:val="auto"/>
        </w:rPr>
        <w:t>The Borrower shall at all times maintain a Tangible Net Worth of at least $175,000,000.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1.3. Exhibit C to the Credit Agreement shall be amended and restated in the form of Exhibit C attached hereto.</w:t>
      </w:r>
    </w:p>
    <w:p>
      <w:pPr>
        <w:spacing w:after="0" w:line="1" w:lineRule="exact"/>
        <w:rPr>
          <w:rFonts w:ascii="Times New Roman" w:cs="Times New Roman" w:eastAsia="Times New Roman" w:hAnsi="Times New Roman"/>
          <w:sz w:val="21"/>
          <w:szCs w:val="21"/>
          <w:color w:val="auto"/>
        </w:rPr>
      </w:pPr>
    </w:p>
    <w:p>
      <w:pPr>
        <w:ind w:left="1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 Conditions Precedent.</w:t>
      </w:r>
    </w:p>
    <w:p>
      <w:pPr>
        <w:spacing w:after="0" w:line="98"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Amendment shall become effective upon satisfaction of all of the following conditions precedent:</w:t>
      </w:r>
    </w:p>
    <w:p>
      <w:pPr>
        <w:sectPr>
          <w:pgSz w:w="11900" w:h="16838" w:orient="portrait"/>
          <w:cols w:equalWidth="0" w:num="1">
            <w:col w:w="11240"/>
          </w:cols>
          <w:pgMar w:left="320" w:top="88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2.1. The Borrower, the Guarantors, the Lenders and the Administrative Agent shall have executed and delivered this Amendment.</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2.2. The Administrative Agent shall have received good standing certificates for each of the Borrower and the Guarantors from the Secretary of State from the state of its incorporation (dated no earlier than 30 days prior to the date of this Amendment).</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2.3. Legal matters incident to the execution and delivery of this Amendment shall be satisfactory to the Administrative Agent and its counsel.</w:t>
      </w:r>
    </w:p>
    <w:p>
      <w:pPr>
        <w:spacing w:after="0" w:line="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Section 3. Representations.</w:t>
      </w:r>
    </w:p>
    <w:p>
      <w:pPr>
        <w:spacing w:after="0" w:line="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3.1. In order to induce the Administrative Agent and the Lenders to execute and deliver this Amendment, the Borrower hereby represents to the Administrative Agent and the Lenders that as of the date hereof (a) the representations and warranties set forth in Section 6 of the Credit Agreement are and shall be and remain true and correct in all material respects (except to the extent that such representations and warranties relate to an earlier date) and (b) it is in compliance with the terms and conditions of the Credit Agreement and no Default or Event of Default has occurred and is continuing under the Credit Agreement or shall result after giving effect to this Amendment.</w:t>
      </w:r>
    </w:p>
    <w:p>
      <w:pPr>
        <w:spacing w:after="0" w:line="69" w:lineRule="exact"/>
        <w:rPr>
          <w:sz w:val="20"/>
          <w:szCs w:val="20"/>
          <w:color w:val="auto"/>
        </w:rPr>
      </w:pPr>
    </w:p>
    <w:p>
      <w:pPr>
        <w:jc w:val="both"/>
        <w:ind w:firstLine="648"/>
        <w:spacing w:after="0" w:line="249" w:lineRule="exact"/>
        <w:rPr>
          <w:sz w:val="20"/>
          <w:szCs w:val="20"/>
          <w:color w:val="auto"/>
        </w:rPr>
      </w:pPr>
      <w:r>
        <w:rPr>
          <w:rFonts w:ascii="Times New Roman" w:cs="Times New Roman" w:eastAsia="Times New Roman" w:hAnsi="Times New Roman"/>
          <w:sz w:val="22"/>
          <w:szCs w:val="22"/>
          <w:color w:val="auto"/>
        </w:rPr>
        <w:t xml:space="preserve">3.2. The Borrower and each Guarantor (collectively, the </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hereby certifies that: (x) the copies of such Loan Party’s organizational documents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articles of incorporation or organization and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laws or operating agreement, etc.) previously delivered to the Administrative Agent under the Loan Documents continue to be true, correct and complete, have not been amended or otherwise modified since the date of such delivery, and are in full force and effect on the date hereof; and (y) each Person previously identified by such Loan Party to sign any Loan Document on behalf of such Loan Party continues to be so authorized on the date hereof and is authorized to sign this Amendment. The Administrative Agent and the Lenders may conclusively rely on this certification until it is otherwise notified by the applicable Loan Party in writing.</w:t>
      </w:r>
    </w:p>
    <w:p>
      <w:pPr>
        <w:spacing w:after="0" w:line="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Section 4. Miscellaneous.</w:t>
      </w:r>
    </w:p>
    <w:p>
      <w:pPr>
        <w:spacing w:after="0" w:line="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4.1. Except as specifically amended herein, the Credit Agreement, including without limitation the Guarantees set forth in Section 11 thereof and the Notes issued pursuant to Section 1.9 thereof, shall continue in full force and effect in accordance with its original terms. Reference to this specific Amendment need not be made in the Credit Agreement, the Notes,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4.2. The Borrower agrees to pay on demand all out of pocket costs and expenses of or incurred by the Administrative Agent in connection with the negotiation, preparation, execution and delivery of this Amendment, including the fees and expenses of counsel for the Administrative Agent.</w:t>
      </w:r>
    </w:p>
    <w:p>
      <w:pPr>
        <w:spacing w:after="0" w:line="65"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22"/>
          <w:szCs w:val="22"/>
          <w:color w:val="auto"/>
        </w:rPr>
        <w:t>4.3.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telecopy or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transmission of an Adobe portable document format file (also known as a “PDF” file) shall be effective as an original. This Amendment shall be governed by the internal laws of the State of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1240"/>
          </w:cols>
          <w:pgMar w:left="320" w:top="881" w:right="339" w:bottom="1440" w:gutter="0" w:footer="0" w:header="0"/>
        </w:sectPr>
      </w:pPr>
    </w:p>
    <w:bookmarkStart w:id="140" w:name="page141"/>
    <w:bookmarkEnd w:id="140"/>
    <w:p>
      <w:pPr>
        <w:ind w:firstLine="648"/>
        <w:spacing w:after="0" w:line="241" w:lineRule="auto"/>
        <w:rPr>
          <w:sz w:val="20"/>
          <w:szCs w:val="20"/>
          <w:color w:val="auto"/>
        </w:rPr>
      </w:pPr>
      <w:r>
        <w:rPr>
          <w:rFonts w:ascii="Times New Roman" w:cs="Times New Roman" w:eastAsia="Times New Roman" w:hAnsi="Times New Roman"/>
          <w:sz w:val="22"/>
          <w:szCs w:val="22"/>
          <w:color w:val="auto"/>
        </w:rPr>
        <w:t>This Seventeenth Amendment to Amended and Restated Credit Agreement is entered into as of the date and year first above written.</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Intl FCStone Financial Inc., as the Borrower</w:t>
      </w:r>
    </w:p>
    <w:p>
      <w:pPr>
        <w:spacing w:after="0" w:line="7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William Dunaway</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William Dunaway</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5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Bruce Fields</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Bruce Fields</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Group Treasurer</w:t>
      </w:r>
    </w:p>
    <w:p>
      <w:pPr>
        <w:spacing w:after="0" w:line="3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INTL FCStone Inc., as the Guarantor</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William Dunaway</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William Dunaway</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5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Bruce Fields</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Bruce Fields</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Group Treasurer</w:t>
      </w:r>
    </w:p>
    <w:p>
      <w:pPr>
        <w:spacing w:after="0" w:line="3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Bank of Montreal, as Administrative Agent</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Krupa Tantuwaya</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Krupa Tantuwaya</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Director</w:t>
      </w:r>
    </w:p>
    <w:p>
      <w:pPr>
        <w:spacing w:after="0" w:line="3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BMO Harris Financing, Inc., as a Lender</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Krupa Tantuwaya</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Krupa Tantuwaya</w:t>
      </w:r>
    </w:p>
    <w:p>
      <w:pPr>
        <w:spacing w:after="0" w:line="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Seventeenth Amendment to Amended and Restated Credit Agreement]</w:t>
      </w:r>
    </w:p>
    <w:p>
      <w:pPr>
        <w:sectPr>
          <w:pgSz w:w="11900" w:h="16838" w:orient="portrait"/>
          <w:cols w:equalWidth="0" w:num="1">
            <w:col w:w="11240"/>
          </w:cols>
          <w:pgMar w:left="320" w:top="1124" w:right="3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9862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954405</wp:posOffset>
            </wp:positionV>
            <wp:extent cx="6986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Dated as of January 29, 2020,</w:t>
      </w: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FCStone Merchant Services, LLC,</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The Guarantors from time to time parties hereto,</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The Lenders from time to time parties hereto,</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COÖPERATIEVE RABOBANK U.A., NEW YORK BRANCH,</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69862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69862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60"/>
        <w:spacing w:after="0" w:line="271" w:lineRule="auto"/>
        <w:rPr>
          <w:sz w:val="20"/>
          <w:szCs w:val="20"/>
          <w:color w:val="auto"/>
        </w:rPr>
      </w:pPr>
      <w:r>
        <w:rPr>
          <w:rFonts w:ascii="Times New Roman" w:cs="Times New Roman" w:eastAsia="Times New Roman" w:hAnsi="Times New Roman"/>
          <w:sz w:val="22"/>
          <w:szCs w:val="22"/>
          <w:color w:val="auto"/>
        </w:rPr>
        <w:t>COÖPERATIEVE RABOBANK U.A., NEW YORK BRANCH, as Sole Lead Arranger and Sole Active Book Runner, BANK OF MONTREAL, CHICAGO BRANCH and ING CAPITAL LLC, as Syndication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100"/>
          </w:cols>
          <w:pgMar w:left="320" w:top="1440" w:right="479" w:bottom="1440" w:gutter="0" w:footer="0" w:header="0"/>
        </w:sectPr>
      </w:pPr>
    </w:p>
    <w:bookmarkStart w:id="142" w:name="page143"/>
    <w:bookmarkEnd w:id="142"/>
    <w:p>
      <w:pPr>
        <w:spacing w:after="0" w:line="200" w:lineRule="exact"/>
        <w:rPr>
          <w:sz w:val="20"/>
          <w:szCs w:val="20"/>
          <w:color w:val="auto"/>
        </w:rPr>
      </w:pPr>
    </w:p>
    <w:p>
      <w:pPr>
        <w:spacing w:after="0" w:line="24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Notice of Borrowing</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Notice of Continuation/Conversion</w:t>
      </w:r>
    </w:p>
    <w:p>
      <w:pPr>
        <w:spacing w:after="0" w:line="2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Revolving Note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Compliance Certificate</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Additional Guarantor Supplement</w:t>
      </w:r>
    </w:p>
    <w:p>
      <w:pPr>
        <w:spacing w:after="0" w:line="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Assignment and Acceptance</w:t>
      </w:r>
    </w:p>
    <w:p>
      <w:pPr>
        <w:spacing w:after="0" w:line="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Borrowing Base Certificate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H</w:t>
      </w:r>
      <w:r>
        <w:rPr>
          <w:sz w:val="20"/>
          <w:szCs w:val="20"/>
          <w:color w:val="auto"/>
        </w:rPr>
        <w:tab/>
      </w:r>
      <w:r>
        <w:rPr>
          <w:rFonts w:ascii="Times New Roman" w:cs="Times New Roman" w:eastAsia="Times New Roman" w:hAnsi="Times New Roman"/>
          <w:sz w:val="21"/>
          <w:szCs w:val="21"/>
          <w:color w:val="auto"/>
        </w:rPr>
        <w:t>Increase Request</w:t>
      </w:r>
    </w:p>
    <w:p>
      <w:pPr>
        <w:spacing w:after="0" w:line="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SCHEDULE 1</w:t>
      </w:r>
      <w:r>
        <w:rPr>
          <w:sz w:val="20"/>
          <w:szCs w:val="20"/>
          <w:color w:val="auto"/>
        </w:rPr>
        <w:tab/>
      </w:r>
      <w:r>
        <w:rPr>
          <w:rFonts w:ascii="Times New Roman" w:cs="Times New Roman" w:eastAsia="Times New Roman" w:hAnsi="Times New Roman"/>
          <w:sz w:val="21"/>
          <w:szCs w:val="21"/>
          <w:color w:val="auto"/>
        </w:rPr>
        <w:t>Commitments</w:t>
      </w:r>
    </w:p>
    <w:p>
      <w:pPr>
        <w:spacing w:after="0" w:line="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5.1</w:t>
      </w:r>
      <w:r>
        <w:rPr>
          <w:sz w:val="20"/>
          <w:szCs w:val="20"/>
          <w:color w:val="auto"/>
        </w:rPr>
        <w:tab/>
      </w:r>
      <w:r>
        <w:rPr>
          <w:rFonts w:ascii="Times New Roman" w:cs="Times New Roman" w:eastAsia="Times New Roman" w:hAnsi="Times New Roman"/>
          <w:sz w:val="21"/>
          <w:szCs w:val="21"/>
          <w:color w:val="auto"/>
        </w:rPr>
        <w:t>Qualified Commodities</w:t>
      </w:r>
    </w:p>
    <w:p>
      <w:pPr>
        <w:spacing w:after="0" w:line="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6.2</w:t>
      </w:r>
      <w:r>
        <w:rPr>
          <w:sz w:val="20"/>
          <w:szCs w:val="20"/>
          <w:color w:val="auto"/>
        </w:rPr>
        <w:tab/>
      </w:r>
      <w:r>
        <w:rPr>
          <w:rFonts w:ascii="Times New Roman" w:cs="Times New Roman" w:eastAsia="Times New Roman" w:hAnsi="Times New Roman"/>
          <w:sz w:val="21"/>
          <w:szCs w:val="21"/>
          <w:color w:val="auto"/>
        </w:rPr>
        <w:t>Borrower Subsidiaries</w:t>
      </w:r>
    </w:p>
    <w:p>
      <w:pPr>
        <w:spacing w:after="0" w:line="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6.5</w:t>
      </w:r>
      <w:r>
        <w:rPr>
          <w:sz w:val="20"/>
          <w:szCs w:val="20"/>
          <w:color w:val="auto"/>
        </w:rPr>
        <w:tab/>
      </w:r>
      <w:r>
        <w:rPr>
          <w:rFonts w:ascii="Times New Roman" w:cs="Times New Roman" w:eastAsia="Times New Roman" w:hAnsi="Times New Roman"/>
          <w:sz w:val="21"/>
          <w:szCs w:val="2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0139"/>
          </w:cols>
          <w:pgMar w:left="320" w:top="1440" w:right="1440" w:bottom="1440" w:gutter="0" w:footer="0" w:header="0"/>
        </w:sectPr>
      </w:pPr>
    </w:p>
    <w:bookmarkStart w:id="143" w:name="page144"/>
    <w:bookmarkEnd w:id="143"/>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300" w:type="dxa"/>
            <w:vAlign w:val="bottom"/>
            <w:gridSpan w:val="13"/>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1.  THE CREDIT FACILITIES.</w:t>
              </w:r>
            </w:hyperlink>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2</w:t>
              </w:r>
            </w:hyperlink>
          </w:p>
        </w:tc>
      </w:tr>
      <w:tr>
        <w:trPr>
          <w:trHeight w:val="290"/>
        </w:trPr>
        <w:tc>
          <w:tcPr>
            <w:tcW w:w="1080" w:type="dxa"/>
            <w:vAlign w:val="bottom"/>
            <w:tcBorders>
              <w:top w:val="single" w:sz="8" w:color="263F6A"/>
            </w:tcBorders>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2.</w:t>
              </w:r>
            </w:hyperlink>
          </w:p>
        </w:tc>
        <w:tc>
          <w:tcPr>
            <w:tcW w:w="2500" w:type="dxa"/>
            <w:vAlign w:val="bottom"/>
            <w:tcBorders>
              <w:top w:val="single" w:sz="8" w:color="263F6A"/>
            </w:tcBorders>
            <w:gridSpan w:val="5"/>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FEES.</w:t>
              </w:r>
            </w:hyperlink>
          </w:p>
        </w:tc>
        <w:tc>
          <w:tcPr>
            <w:tcW w:w="1720" w:type="dxa"/>
            <w:vAlign w:val="bottom"/>
            <w:gridSpan w:val="7"/>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21</w:t>
              </w:r>
            </w:hyperlink>
          </w:p>
        </w:tc>
      </w:tr>
      <w:tr>
        <w:trPr>
          <w:trHeight w:val="20"/>
        </w:trPr>
        <w:tc>
          <w:tcPr>
            <w:tcW w:w="1640" w:type="dxa"/>
            <w:vAlign w:val="bottom"/>
            <w:gridSpan w:val="2"/>
            <w:shd w:val="clear" w:color="auto" w:fill="263F6A"/>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91"/>
        </w:trPr>
        <w:tc>
          <w:tcPr>
            <w:tcW w:w="5300" w:type="dxa"/>
            <w:vAlign w:val="bottom"/>
            <w:tcBorders>
              <w:bottom w:val="single" w:sz="8" w:color="263F6A"/>
            </w:tcBorders>
            <w:gridSpan w:val="13"/>
          </w:tcPr>
          <w:p>
            <w:pPr>
              <w:spacing w:after="0"/>
              <w:rPr>
                <w:rFonts w:ascii="Times New Roman" w:cs="Times New Roman" w:eastAsia="Times New Roman" w:hAnsi="Times New Roman"/>
                <w:sz w:val="22"/>
                <w:szCs w:val="22"/>
                <w:color w:val="263F6A"/>
                <w:w w:val="98"/>
              </w:rPr>
            </w:pPr>
            <w:hyperlink w:anchor="page143">
              <w:r>
                <w:rPr>
                  <w:rFonts w:ascii="Times New Roman" w:cs="Times New Roman" w:eastAsia="Times New Roman" w:hAnsi="Times New Roman"/>
                  <w:sz w:val="22"/>
                  <w:szCs w:val="22"/>
                  <w:color w:val="263F6A"/>
                  <w:w w:val="98"/>
                </w:rPr>
                <w:t>Section 3.  PLACE AND APPLICATION OF PAYMENTS.</w:t>
              </w:r>
            </w:hyperlink>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22</w:t>
              </w:r>
            </w:hyperlink>
          </w:p>
        </w:tc>
      </w:tr>
      <w:tr>
        <w:trPr>
          <w:trHeight w:val="290"/>
        </w:trPr>
        <w:tc>
          <w:tcPr>
            <w:tcW w:w="4500" w:type="dxa"/>
            <w:vAlign w:val="bottom"/>
            <w:tcBorders>
              <w:bottom w:val="single" w:sz="8" w:color="263F6A"/>
            </w:tcBorders>
            <w:gridSpan w:val="10"/>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4.  GUARANTIES AND COLLATERAL.</w:t>
              </w:r>
            </w:hyperlink>
          </w:p>
        </w:tc>
        <w:tc>
          <w:tcPr>
            <w:tcW w:w="800" w:type="dxa"/>
            <w:vAlign w:val="bottom"/>
            <w:gridSpan w:val="3"/>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24</w:t>
              </w:r>
            </w:hyperlink>
          </w:p>
        </w:tc>
      </w:tr>
      <w:tr>
        <w:trPr>
          <w:trHeight w:val="291"/>
        </w:trPr>
        <w:tc>
          <w:tcPr>
            <w:tcW w:w="1080" w:type="dxa"/>
            <w:vAlign w:val="bottom"/>
            <w:tcBorders>
              <w:bottom w:val="single" w:sz="8" w:color="263F6A"/>
            </w:tcBorders>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5.</w:t>
              </w:r>
            </w:hyperlink>
          </w:p>
        </w:tc>
        <w:tc>
          <w:tcPr>
            <w:tcW w:w="4220" w:type="dxa"/>
            <w:vAlign w:val="bottom"/>
            <w:gridSpan w:val="12"/>
          </w:tcPr>
          <w:p>
            <w:pPr>
              <w:spacing w:after="0"/>
              <w:rPr>
                <w:rFonts w:ascii="Times New Roman" w:cs="Times New Roman" w:eastAsia="Times New Roman" w:hAnsi="Times New Roman"/>
                <w:sz w:val="22"/>
                <w:szCs w:val="22"/>
                <w:u w:val="single" w:color="auto"/>
                <w:color w:val="263F6A"/>
              </w:rPr>
            </w:pPr>
            <w:hyperlink w:anchor="page143">
              <w:r>
                <w:rPr>
                  <w:rFonts w:ascii="Times New Roman" w:cs="Times New Roman" w:eastAsia="Times New Roman" w:hAnsi="Times New Roman"/>
                  <w:sz w:val="22"/>
                  <w:szCs w:val="22"/>
                  <w:u w:val="single" w:color="auto"/>
                  <w:color w:val="263F6A"/>
                </w:rPr>
                <w:t>DEFINITIONS; INTERPRETATION.</w:t>
              </w:r>
            </w:hyperlink>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25</w:t>
              </w:r>
            </w:hyperlink>
          </w:p>
        </w:tc>
      </w:tr>
      <w:tr>
        <w:trPr>
          <w:trHeight w:val="291"/>
        </w:trPr>
        <w:tc>
          <w:tcPr>
            <w:tcW w:w="5080" w:type="dxa"/>
            <w:vAlign w:val="bottom"/>
            <w:tcBorders>
              <w:bottom w:val="single" w:sz="8" w:color="263F6A"/>
            </w:tcBorders>
            <w:gridSpan w:val="12"/>
          </w:tcPr>
          <w:p>
            <w:pPr>
              <w:spacing w:after="0"/>
              <w:rPr>
                <w:rFonts w:ascii="Times New Roman" w:cs="Times New Roman" w:eastAsia="Times New Roman" w:hAnsi="Times New Roman"/>
                <w:sz w:val="22"/>
                <w:szCs w:val="22"/>
                <w:color w:val="263F6A"/>
                <w:w w:val="98"/>
              </w:rPr>
            </w:pPr>
            <w:hyperlink w:anchor="page143">
              <w:r>
                <w:rPr>
                  <w:rFonts w:ascii="Times New Roman" w:cs="Times New Roman" w:eastAsia="Times New Roman" w:hAnsi="Times New Roman"/>
                  <w:sz w:val="22"/>
                  <w:szCs w:val="22"/>
                  <w:color w:val="263F6A"/>
                  <w:w w:val="98"/>
                </w:rPr>
                <w:t>Section 6.  REPRESENTATIONS AND WARRANTIES.</w:t>
              </w:r>
            </w:hyperlink>
          </w:p>
        </w:tc>
        <w:tc>
          <w:tcPr>
            <w:tcW w:w="220" w:type="dxa"/>
            <w:vAlign w:val="bottom"/>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62</w:t>
              </w:r>
            </w:hyperlink>
          </w:p>
        </w:tc>
      </w:tr>
      <w:tr>
        <w:trPr>
          <w:trHeight w:val="290"/>
        </w:trPr>
        <w:tc>
          <w:tcPr>
            <w:tcW w:w="1080" w:type="dxa"/>
            <w:vAlign w:val="bottom"/>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7.</w:t>
              </w:r>
            </w:hyperlink>
          </w:p>
        </w:tc>
        <w:tc>
          <w:tcPr>
            <w:tcW w:w="4220" w:type="dxa"/>
            <w:vAlign w:val="bottom"/>
            <w:gridSpan w:val="12"/>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CONDITIONS PRECEDENT.</w:t>
              </w:r>
            </w:hyperlink>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68</w:t>
              </w:r>
            </w:hyperlink>
          </w:p>
        </w:tc>
      </w:tr>
      <w:tr>
        <w:trPr>
          <w:trHeight w:val="291"/>
        </w:trPr>
        <w:tc>
          <w:tcPr>
            <w:tcW w:w="1080" w:type="dxa"/>
            <w:vAlign w:val="bottom"/>
            <w:tcBorders>
              <w:top w:val="single" w:sz="8" w:color="263F6A"/>
              <w:bottom w:val="single" w:sz="8" w:color="263F6A"/>
            </w:tcBorders>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8.</w:t>
              </w:r>
            </w:hyperlink>
          </w:p>
        </w:tc>
        <w:tc>
          <w:tcPr>
            <w:tcW w:w="1380" w:type="dxa"/>
            <w:vAlign w:val="bottom"/>
            <w:tcBorders>
              <w:top w:val="single" w:sz="8" w:color="263F6A"/>
              <w:bottom w:val="single" w:sz="8" w:color="263F6A"/>
            </w:tcBorders>
            <w:gridSpan w:val="2"/>
          </w:tcPr>
          <w:p>
            <w:pPr>
              <w:spacing w:after="0"/>
              <w:rPr>
                <w:rFonts w:ascii="Times New Roman" w:cs="Times New Roman" w:eastAsia="Times New Roman" w:hAnsi="Times New Roman"/>
                <w:sz w:val="22"/>
                <w:szCs w:val="22"/>
                <w:color w:val="263F6A"/>
                <w:w w:val="98"/>
              </w:rPr>
            </w:pPr>
            <w:hyperlink w:anchor="page143">
              <w:r>
                <w:rPr>
                  <w:rFonts w:ascii="Times New Roman" w:cs="Times New Roman" w:eastAsia="Times New Roman" w:hAnsi="Times New Roman"/>
                  <w:sz w:val="22"/>
                  <w:szCs w:val="22"/>
                  <w:color w:val="263F6A"/>
                  <w:w w:val="98"/>
                </w:rPr>
                <w:t>COVENANTS.</w:t>
              </w:r>
            </w:hyperlink>
          </w:p>
        </w:tc>
        <w:tc>
          <w:tcPr>
            <w:tcW w:w="1280" w:type="dxa"/>
            <w:vAlign w:val="bottom"/>
            <w:tcBorders>
              <w:top w:val="single" w:sz="8" w:color="263F6A"/>
            </w:tcBorders>
            <w:gridSpan w:val="4"/>
          </w:tcPr>
          <w:p>
            <w:pPr>
              <w:spacing w:after="0"/>
              <w:rPr>
                <w:sz w:val="24"/>
                <w:szCs w:val="24"/>
                <w:color w:val="auto"/>
              </w:rPr>
            </w:pPr>
          </w:p>
        </w:tc>
        <w:tc>
          <w:tcPr>
            <w:tcW w:w="1560" w:type="dxa"/>
            <w:vAlign w:val="bottom"/>
            <w:gridSpan w:val="6"/>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71</w:t>
              </w:r>
            </w:hyperlink>
          </w:p>
        </w:tc>
      </w:tr>
      <w:tr>
        <w:trPr>
          <w:trHeight w:val="290"/>
        </w:trPr>
        <w:tc>
          <w:tcPr>
            <w:tcW w:w="4960" w:type="dxa"/>
            <w:vAlign w:val="bottom"/>
            <w:tcBorders>
              <w:bottom w:val="single" w:sz="8" w:color="263F6A"/>
            </w:tcBorders>
            <w:gridSpan w:val="11"/>
          </w:tcPr>
          <w:p>
            <w:pPr>
              <w:spacing w:after="0"/>
              <w:rPr>
                <w:rFonts w:ascii="Times New Roman" w:cs="Times New Roman" w:eastAsia="Times New Roman" w:hAnsi="Times New Roman"/>
                <w:sz w:val="22"/>
                <w:szCs w:val="22"/>
                <w:color w:val="263F6A"/>
                <w:w w:val="99"/>
              </w:rPr>
            </w:pPr>
            <w:hyperlink w:anchor="page143">
              <w:r>
                <w:rPr>
                  <w:rFonts w:ascii="Times New Roman" w:cs="Times New Roman" w:eastAsia="Times New Roman" w:hAnsi="Times New Roman"/>
                  <w:sz w:val="22"/>
                  <w:szCs w:val="22"/>
                  <w:color w:val="263F6A"/>
                  <w:w w:val="99"/>
                </w:rPr>
                <w:t>Section 9.  EVENTS OF DEFAULT AND REMEDIES.</w:t>
              </w:r>
            </w:hyperlink>
          </w:p>
        </w:tc>
        <w:tc>
          <w:tcPr>
            <w:tcW w:w="340" w:type="dxa"/>
            <w:vAlign w:val="bottom"/>
            <w:gridSpan w:val="2"/>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85</w:t>
              </w:r>
            </w:hyperlink>
          </w:p>
        </w:tc>
      </w:tr>
      <w:tr>
        <w:trPr>
          <w:trHeight w:val="291"/>
        </w:trPr>
        <w:tc>
          <w:tcPr>
            <w:tcW w:w="4120" w:type="dxa"/>
            <w:vAlign w:val="bottom"/>
            <w:tcBorders>
              <w:bottom w:val="single" w:sz="8" w:color="263F6A"/>
            </w:tcBorders>
            <w:gridSpan w:val="8"/>
          </w:tcPr>
          <w:p>
            <w:pPr>
              <w:spacing w:after="0"/>
              <w:rPr>
                <w:rFonts w:ascii="Times New Roman" w:cs="Times New Roman" w:eastAsia="Times New Roman" w:hAnsi="Times New Roman"/>
                <w:sz w:val="22"/>
                <w:szCs w:val="22"/>
                <w:color w:val="263F6A"/>
                <w:w w:val="97"/>
              </w:rPr>
            </w:pPr>
            <w:hyperlink w:anchor="page143">
              <w:r>
                <w:rPr>
                  <w:rFonts w:ascii="Times New Roman" w:cs="Times New Roman" w:eastAsia="Times New Roman" w:hAnsi="Times New Roman"/>
                  <w:sz w:val="22"/>
                  <w:szCs w:val="22"/>
                  <w:color w:val="263F6A"/>
                  <w:w w:val="97"/>
                </w:rPr>
                <w:t>Section 10. CHANGE IN CIRCUMSTANCES.</w:t>
              </w:r>
            </w:hyperlink>
          </w:p>
        </w:tc>
        <w:tc>
          <w:tcPr>
            <w:tcW w:w="1180" w:type="dxa"/>
            <w:vAlign w:val="bottom"/>
            <w:gridSpan w:val="5"/>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90</w:t>
              </w:r>
            </w:hyperlink>
          </w:p>
        </w:tc>
      </w:tr>
      <w:tr>
        <w:trPr>
          <w:trHeight w:val="290"/>
        </w:trPr>
        <w:tc>
          <w:tcPr>
            <w:tcW w:w="5300" w:type="dxa"/>
            <w:vAlign w:val="bottom"/>
            <w:gridSpan w:val="13"/>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11. THE ADMINISTRATIVE AGENT.</w:t>
              </w:r>
            </w:hyperlink>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92</w:t>
              </w:r>
            </w:hyperlink>
          </w:p>
        </w:tc>
      </w:tr>
      <w:tr>
        <w:trPr>
          <w:trHeight w:val="291"/>
        </w:trPr>
        <w:tc>
          <w:tcPr>
            <w:tcW w:w="4140" w:type="dxa"/>
            <w:vAlign w:val="bottom"/>
            <w:tcBorders>
              <w:top w:val="single" w:sz="8" w:color="263F6A"/>
            </w:tcBorders>
            <w:gridSpan w:val="9"/>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12. THE GUARANTEES.</w:t>
              </w:r>
            </w:hyperlink>
          </w:p>
        </w:tc>
        <w:tc>
          <w:tcPr>
            <w:tcW w:w="1160" w:type="dxa"/>
            <w:vAlign w:val="bottom"/>
            <w:gridSpan w:val="4"/>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rPr>
            </w:pPr>
            <w:hyperlink w:anchor="page143">
              <w:r>
                <w:rPr>
                  <w:rFonts w:ascii="Times New Roman" w:cs="Times New Roman" w:eastAsia="Times New Roman" w:hAnsi="Times New Roman"/>
                  <w:sz w:val="22"/>
                  <w:szCs w:val="22"/>
                  <w:u w:val="single" w:color="auto"/>
                  <w:color w:val="auto"/>
                </w:rPr>
                <w:t>97</w:t>
              </w:r>
            </w:hyperlink>
          </w:p>
        </w:tc>
      </w:tr>
      <w:tr>
        <w:trPr>
          <w:trHeight w:val="291"/>
        </w:trPr>
        <w:tc>
          <w:tcPr>
            <w:tcW w:w="3000" w:type="dxa"/>
            <w:vAlign w:val="bottom"/>
            <w:tcBorders>
              <w:top w:val="single" w:sz="8" w:color="263F6A"/>
            </w:tcBorders>
            <w:gridSpan w:val="5"/>
          </w:tcPr>
          <w:p>
            <w:pPr>
              <w:spacing w:after="0"/>
              <w:rPr>
                <w:rFonts w:ascii="Times New Roman" w:cs="Times New Roman" w:eastAsia="Times New Roman" w:hAnsi="Times New Roman"/>
                <w:sz w:val="22"/>
                <w:szCs w:val="22"/>
                <w:color w:val="263F6A"/>
              </w:rPr>
            </w:pPr>
            <w:hyperlink w:anchor="page143">
              <w:r>
                <w:rPr>
                  <w:rFonts w:ascii="Times New Roman" w:cs="Times New Roman" w:eastAsia="Times New Roman" w:hAnsi="Times New Roman"/>
                  <w:sz w:val="22"/>
                  <w:szCs w:val="22"/>
                  <w:color w:val="263F6A"/>
                </w:rPr>
                <w:t>Section 13. MISCELLANEOUS.</w:t>
              </w:r>
            </w:hyperlink>
          </w:p>
        </w:tc>
        <w:tc>
          <w:tcPr>
            <w:tcW w:w="2300" w:type="dxa"/>
            <w:vAlign w:val="bottom"/>
            <w:gridSpan w:val="8"/>
          </w:tcPr>
          <w:p>
            <w:pPr>
              <w:spacing w:after="0"/>
              <w:rPr>
                <w:sz w:val="24"/>
                <w:szCs w:val="24"/>
                <w:color w:val="auto"/>
              </w:rPr>
            </w:pPr>
          </w:p>
        </w:tc>
        <w:tc>
          <w:tcPr>
            <w:tcW w:w="5060" w:type="dxa"/>
            <w:vAlign w:val="bottom"/>
          </w:tcPr>
          <w:p>
            <w:pPr>
              <w:ind w:left="4740"/>
              <w:spacing w:after="0"/>
              <w:rPr>
                <w:rFonts w:ascii="Times New Roman" w:cs="Times New Roman" w:eastAsia="Times New Roman" w:hAnsi="Times New Roman"/>
                <w:sz w:val="22"/>
                <w:szCs w:val="22"/>
                <w:u w:val="single" w:color="auto"/>
                <w:color w:val="auto"/>
                <w:w w:val="90"/>
              </w:rPr>
            </w:pPr>
            <w:hyperlink w:anchor="page143">
              <w:r>
                <w:rPr>
                  <w:rFonts w:ascii="Times New Roman" w:cs="Times New Roman" w:eastAsia="Times New Roman" w:hAnsi="Times New Roman"/>
                  <w:sz w:val="22"/>
                  <w:szCs w:val="22"/>
                  <w:u w:val="single" w:color="auto"/>
                  <w:color w:val="auto"/>
                  <w:w w:val="90"/>
                </w:rPr>
                <w:t>101</w:t>
              </w:r>
            </w:hyperlink>
          </w:p>
        </w:tc>
      </w:tr>
      <w:tr>
        <w:trPr>
          <w:trHeight w:val="20"/>
        </w:trPr>
        <w:tc>
          <w:tcPr>
            <w:tcW w:w="1080" w:type="dxa"/>
            <w:vAlign w:val="bottom"/>
            <w:shd w:val="clear" w:color="auto" w:fill="263F6A"/>
          </w:tcPr>
          <w:p>
            <w:pPr>
              <w:spacing w:after="0" w:line="20" w:lineRule="exact"/>
              <w:rPr>
                <w:sz w:val="1"/>
                <w:szCs w:val="1"/>
                <w:color w:val="auto"/>
              </w:rPr>
            </w:pPr>
          </w:p>
        </w:tc>
        <w:tc>
          <w:tcPr>
            <w:tcW w:w="560" w:type="dxa"/>
            <w:vAlign w:val="bottom"/>
            <w:shd w:val="clear" w:color="auto" w:fill="263F6A"/>
          </w:tcPr>
          <w:p>
            <w:pPr>
              <w:spacing w:after="0" w:line="20" w:lineRule="exact"/>
              <w:rPr>
                <w:sz w:val="1"/>
                <w:szCs w:val="1"/>
                <w:color w:val="auto"/>
              </w:rPr>
            </w:pPr>
          </w:p>
        </w:tc>
        <w:tc>
          <w:tcPr>
            <w:tcW w:w="820" w:type="dxa"/>
            <w:vAlign w:val="bottom"/>
            <w:shd w:val="clear" w:color="auto" w:fill="263F6A"/>
          </w:tcPr>
          <w:p>
            <w:pPr>
              <w:spacing w:after="0" w:line="20" w:lineRule="exact"/>
              <w:rPr>
                <w:sz w:val="1"/>
                <w:szCs w:val="1"/>
                <w:color w:val="auto"/>
              </w:rPr>
            </w:pPr>
          </w:p>
        </w:tc>
        <w:tc>
          <w:tcPr>
            <w:tcW w:w="420" w:type="dxa"/>
            <w:vAlign w:val="bottom"/>
            <w:shd w:val="clear" w:color="auto" w:fill="263F6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0380"/>
          </w:cols>
          <w:pgMar w:left="320" w:top="1440" w:right="119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 CREDIT AGREEMENT</w:t>
      </w:r>
    </w:p>
    <w:p>
      <w:pPr>
        <w:spacing w:after="0" w:line="224" w:lineRule="exact"/>
        <w:rPr>
          <w:sz w:val="20"/>
          <w:szCs w:val="20"/>
          <w:color w:val="auto"/>
        </w:rPr>
      </w:pPr>
    </w:p>
    <w:p>
      <w:pPr>
        <w:jc w:val="both"/>
        <w:ind w:left="140" w:right="100" w:firstLine="583"/>
        <w:spacing w:after="0" w:line="248" w:lineRule="auto"/>
        <w:rPr>
          <w:sz w:val="20"/>
          <w:szCs w:val="20"/>
          <w:color w:val="auto"/>
        </w:rPr>
      </w:pPr>
      <w:r>
        <w:rPr>
          <w:rFonts w:ascii="Times New Roman" w:cs="Times New Roman" w:eastAsia="Times New Roman" w:hAnsi="Times New Roman"/>
          <w:sz w:val="22"/>
          <w:szCs w:val="22"/>
          <w:color w:val="auto"/>
        </w:rPr>
        <w:t xml:space="preserve">This Second Amended and Restated Credit Agreement is entered into as of January 29, 2020 by and among FCStone Merchant Services, LLC, a Delaware limited liability company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INTL FCStone Inc., a Delaware corporation (</w:t>
      </w:r>
      <w:r>
        <w:rPr>
          <w:rFonts w:ascii="Times New Roman" w:cs="Times New Roman" w:eastAsia="Times New Roman" w:hAnsi="Times New Roman"/>
          <w:sz w:val="22"/>
          <w:szCs w:val="22"/>
          <w:i w:val="1"/>
          <w:iCs w:val="1"/>
          <w:color w:val="auto"/>
        </w:rPr>
        <w:t>“Holdings”</w:t>
      </w:r>
      <w:r>
        <w:rPr>
          <w:rFonts w:ascii="Times New Roman" w:cs="Times New Roman" w:eastAsia="Times New Roman" w:hAnsi="Times New Roman"/>
          <w:sz w:val="22"/>
          <w:szCs w:val="22"/>
          <w:color w:val="auto"/>
        </w:rPr>
        <w:t>), the Borrower Subsidiaries (as hereinafter defined), as Guarantors, the several financial institutions from time to time party to this Agreement, as Lenders, and COÖPERATIEVE RABOBANK U.A., NEW YORK BRANCH, as Administrative Agent as provided herein. All capitalized terms used herein without definition shall have the same meanings herein as such terms are defined in Section 5.1 hereof.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left="140" w:right="120" w:firstLine="583"/>
        <w:spacing w:after="0" w:line="268" w:lineRule="auto"/>
        <w:rPr>
          <w:sz w:val="20"/>
          <w:szCs w:val="20"/>
          <w:color w:val="auto"/>
        </w:rPr>
      </w:pPr>
      <w:r>
        <w:rPr>
          <w:rFonts w:ascii="Times New Roman" w:cs="Times New Roman" w:eastAsia="Times New Roman" w:hAnsi="Times New Roman"/>
          <w:sz w:val="21"/>
          <w:szCs w:val="21"/>
          <w:color w:val="auto"/>
        </w:rPr>
        <w:t>WHEREAS, the Borrower and the Guarantors are party to that certain Amended and Restated Credit Agreement dated as of March 15, 2016, by and among the Borrower, the Guarantors, the lenders party thereto (collectively, the “</w:t>
      </w:r>
      <w:r>
        <w:rPr>
          <w:rFonts w:ascii="Times New Roman" w:cs="Times New Roman" w:eastAsia="Times New Roman" w:hAnsi="Times New Roman"/>
          <w:sz w:val="21"/>
          <w:szCs w:val="21"/>
          <w:i w:val="1"/>
          <w:iCs w:val="1"/>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and Bank of Montreal, as administrative agent (in such capacity, the “</w:t>
      </w:r>
      <w:r>
        <w:rPr>
          <w:rFonts w:ascii="Times New Roman" w:cs="Times New Roman" w:eastAsia="Times New Roman" w:hAnsi="Times New Roman"/>
          <w:sz w:val="21"/>
          <w:szCs w:val="21"/>
          <w:i w:val="1"/>
          <w:iCs w:val="1"/>
          <w:color w:val="auto"/>
        </w:rPr>
        <w:t>Resigning Agent</w:t>
      </w:r>
      <w:r>
        <w:rPr>
          <w:rFonts w:ascii="Times New Roman" w:cs="Times New Roman" w:eastAsia="Times New Roman" w:hAnsi="Times New Roman"/>
          <w:sz w:val="21"/>
          <w:szCs w:val="21"/>
          <w:color w:val="auto"/>
        </w:rPr>
        <w:t>”) for the Existing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(as amended, restated, supplemented or otherwise modified prior to the date hereof, the </w:t>
      </w:r>
      <w:r>
        <w:rPr>
          <w:rFonts w:ascii="Times New Roman" w:cs="Times New Roman" w:eastAsia="Times New Roman" w:hAnsi="Times New Roman"/>
          <w:sz w:val="21"/>
          <w:szCs w:val="21"/>
          <w:i w:val="1"/>
          <w:iCs w:val="1"/>
          <w:color w:val="auto"/>
        </w:rPr>
        <w:t>“Existing Credit Agreement”</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left="140" w:right="120" w:firstLine="583"/>
        <w:spacing w:after="0" w:line="252" w:lineRule="auto"/>
        <w:rPr>
          <w:sz w:val="20"/>
          <w:szCs w:val="20"/>
          <w:color w:val="auto"/>
        </w:rPr>
      </w:pPr>
      <w:r>
        <w:rPr>
          <w:rFonts w:ascii="Times New Roman" w:cs="Times New Roman" w:eastAsia="Times New Roman" w:hAnsi="Times New Roman"/>
          <w:sz w:val="22"/>
          <w:szCs w:val="22"/>
          <w:color w:val="auto"/>
        </w:rPr>
        <w:t>WHEREAS, the Borrower, the Resigning Agent, the Administrative Agent and the Lenders are party to that certain Agent Resignation and Appointment Agreement, dated as of the date hereof, pursuant to which the Resigning Agent has resigned as administrative agent and the Administrative Agent has been duly appointed as administrative agent under this Agreement and the other Loan Documents;</w:t>
      </w:r>
    </w:p>
    <w:p>
      <w:pPr>
        <w:spacing w:after="0" w:line="179" w:lineRule="exact"/>
        <w:rPr>
          <w:sz w:val="20"/>
          <w:szCs w:val="20"/>
          <w:color w:val="auto"/>
        </w:rPr>
      </w:pPr>
    </w:p>
    <w:p>
      <w:pPr>
        <w:jc w:val="both"/>
        <w:ind w:left="140" w:right="120" w:firstLine="583"/>
        <w:spacing w:after="0" w:line="271" w:lineRule="auto"/>
        <w:rPr>
          <w:sz w:val="20"/>
          <w:szCs w:val="20"/>
          <w:color w:val="auto"/>
        </w:rPr>
      </w:pPr>
      <w:r>
        <w:rPr>
          <w:rFonts w:ascii="Times New Roman" w:cs="Times New Roman" w:eastAsia="Times New Roman" w:hAnsi="Times New Roman"/>
          <w:sz w:val="22"/>
          <w:szCs w:val="22"/>
          <w:color w:val="auto"/>
        </w:rPr>
        <w:t>WHEREAS, the Borrower hereby requests that certain amendments be made to the Existing Credit Agreement and, for the sake of clarity and convenience, that the Existing Credit Agreement be restated as so amended.</w:t>
      </w:r>
    </w:p>
    <w:p>
      <w:pPr>
        <w:spacing w:after="0" w:line="158" w:lineRule="exact"/>
        <w:rPr>
          <w:sz w:val="20"/>
          <w:szCs w:val="20"/>
          <w:color w:val="auto"/>
        </w:rPr>
      </w:pPr>
    </w:p>
    <w:p>
      <w:pPr>
        <w:jc w:val="both"/>
        <w:ind w:left="140" w:right="120" w:firstLine="583"/>
        <w:spacing w:after="0" w:line="248" w:lineRule="auto"/>
        <w:rPr>
          <w:sz w:val="20"/>
          <w:szCs w:val="20"/>
          <w:color w:val="auto"/>
        </w:rPr>
      </w:pPr>
      <w:r>
        <w:rPr>
          <w:rFonts w:ascii="Times New Roman" w:cs="Times New Roman" w:eastAsia="Times New Roman" w:hAnsi="Times New Roman"/>
          <w:sz w:val="22"/>
          <w:szCs w:val="22"/>
          <w:color w:val="auto"/>
        </w:rPr>
        <w:t>NOW, THEREFORE, in consideration of the recital set forth above, which by this reference is incorporated into this Agreement set forth below, and for other good and valuable consideration, the receipt and sufficiency of which are hereby acknowledged and subject to the terms and conditions hereof and on the basis of the representations and warranties herein set forth, the Borrower, the Guarantors, the Lenders and the Administrative Agent hereby agree that upon satisfaction or waiver of the conditions precedent to the initial Credit Event hereinafter set forth, the Existing Credit Agreement and all of the Exhibits and Schedules thereto shall be amended and as so amended shall be restated in their entirety to read as follows:</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THE CREDIT FACILITIES.</w:t>
      </w:r>
    </w:p>
    <w:p>
      <w:pPr>
        <w:spacing w:after="0" w:line="21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a.</w:t>
      </w:r>
      <w:r>
        <w:rPr>
          <w:sz w:val="20"/>
          <w:szCs w:val="20"/>
          <w:color w:val="auto"/>
        </w:rPr>
        <w:tab/>
      </w:r>
      <w:r>
        <w:rPr>
          <w:rFonts w:ascii="Times New Roman" w:cs="Times New Roman" w:eastAsia="Times New Roman" w:hAnsi="Times New Roman"/>
          <w:sz w:val="21"/>
          <w:szCs w:val="21"/>
          <w:i w:val="1"/>
          <w:iCs w:val="1"/>
          <w:color w:val="auto"/>
        </w:rPr>
        <w:t>Commitments.</w:t>
      </w:r>
    </w:p>
    <w:p>
      <w:pPr>
        <w:spacing w:after="0" w:line="220" w:lineRule="exact"/>
        <w:rPr>
          <w:sz w:val="20"/>
          <w:szCs w:val="20"/>
          <w:color w:val="auto"/>
        </w:rPr>
      </w:pPr>
    </w:p>
    <w:p>
      <w:pPr>
        <w:ind w:left="660" w:firstLine="444"/>
        <w:spacing w:after="0" w:line="27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xml:space="preserve"> Subject to the terms and conditions hereof, each Lender, by its acceptance hereof, severally agrees to make a loan or loans (individually a </w:t>
      </w:r>
      <w:r>
        <w:rPr>
          <w:rFonts w:ascii="Times New Roman" w:cs="Times New Roman" w:eastAsia="Times New Roman" w:hAnsi="Times New Roman"/>
          <w:sz w:val="22"/>
          <w:szCs w:val="22"/>
          <w:i w:val="1"/>
          <w:iCs w:val="1"/>
          <w:color w:val="auto"/>
        </w:rPr>
        <w:t>“Revolving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20"/>
          </w:cols>
          <w:pgMar w:left="320" w:top="1417" w:right="359" w:bottom="1440" w:gutter="0" w:footer="0" w:header="0"/>
        </w:sectPr>
      </w:pPr>
    </w:p>
    <w:bookmarkStart w:id="145" w:name="page146"/>
    <w:bookmarkEnd w:id="145"/>
    <w:p>
      <w:pPr>
        <w:jc w:val="both"/>
        <w:ind w:left="660"/>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Loan” </w:t>
      </w:r>
      <w:r>
        <w:rPr>
          <w:rFonts w:ascii="Times New Roman" w:cs="Times New Roman" w:eastAsia="Times New Roman" w:hAnsi="Times New Roman"/>
          <w:sz w:val="22"/>
          <w:szCs w:val="22"/>
          <w:color w:val="auto"/>
        </w:rPr>
        <w:t>and collectively for all such Lenders the</w:t>
      </w:r>
      <w:r>
        <w:rPr>
          <w:rFonts w:ascii="Times New Roman" w:cs="Times New Roman" w:eastAsia="Times New Roman" w:hAnsi="Times New Roman"/>
          <w:sz w:val="22"/>
          <w:szCs w:val="22"/>
          <w:i w:val="1"/>
          <w:iCs w:val="1"/>
          <w:color w:val="auto"/>
        </w:rPr>
        <w:t xml:space="preserve"> “Revolving Loans”</w:t>
      </w:r>
      <w:r>
        <w:rPr>
          <w:rFonts w:ascii="Times New Roman" w:cs="Times New Roman" w:eastAsia="Times New Roman" w:hAnsi="Times New Roman"/>
          <w:sz w:val="22"/>
          <w:szCs w:val="22"/>
          <w:color w:val="auto"/>
        </w:rPr>
        <w:t>) in U.S. Dollars to the Borrower from time to time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revolving basis up to the amount of such Lender’s Revolving Commitment, subject to any reductions thereof pursuant to the terms hereof, before the Termination Date. The sum of the aggregate principal amount of Revolving Loans and L/C Obligations at any time outstanding shall not exceed the lesser of (i) the Revolving Commitments in effect at such time and (ii) the Borrowing Base as then determined and computed. Each Borrowing of Revolving Loans shall be made ratably by the Lenders in proportion to their respective Revolver Percentages. As provided in Section 1.4(a) hereof, the Borrower may elect that each Borrowing of Revolving Loans be either Base Rate Loans or Eurodollar Loans. Revolving Loans may be repaid and the principal amount thereof reborrowed before the Termination Date, subject to the terms and conditions hereof.</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[Reserved]</w:t>
      </w:r>
    </w:p>
    <w:p>
      <w:pPr>
        <w:spacing w:after="0" w:line="220" w:lineRule="exact"/>
        <w:rPr>
          <w:sz w:val="20"/>
          <w:szCs w:val="20"/>
          <w:color w:val="auto"/>
        </w:rPr>
      </w:pPr>
    </w:p>
    <w:p>
      <w:pPr>
        <w:jc w:val="both"/>
        <w:ind w:left="660" w:firstLine="324"/>
        <w:spacing w:after="0" w:line="24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Letters of Credit. General Terms.</w:t>
      </w:r>
      <w:r>
        <w:rPr>
          <w:rFonts w:ascii="Times New Roman" w:cs="Times New Roman" w:eastAsia="Times New Roman" w:hAnsi="Times New Roman"/>
          <w:sz w:val="22"/>
          <w:szCs w:val="22"/>
          <w:color w:val="auto"/>
        </w:rPr>
        <w:t xml:space="preserve"> Subject to the terms and conditions hereof, as part of the Revolving Commitment, the L/C Issuer shall issue standby and commercial letters of credit (each a </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for the account of Borrower in an aggregate undrawn face amount up to the L/C Sublimit. Each Letter of Credit shall be issued by the L/C Issuer, but each Lender with a Revolving Commitment shall be obligated to reimburse the L/C Issuer for such Lender’s Revolver Percentage of the amount of each drawing thereunder and, accordingly, Letters of Credit shall constitute usage of the Commitment of each Lender pro rata in an amount equal to its Revolver Percentage of the L/C Obligations then outstanding.</w:t>
      </w:r>
    </w:p>
    <w:p>
      <w:pPr>
        <w:spacing w:after="0" w:line="182" w:lineRule="exact"/>
        <w:rPr>
          <w:sz w:val="20"/>
          <w:szCs w:val="20"/>
          <w:color w:val="auto"/>
        </w:rPr>
      </w:pPr>
    </w:p>
    <w:p>
      <w:pPr>
        <w:jc w:val="both"/>
        <w:ind w:left="1300" w:firstLine="652"/>
        <w:spacing w:after="0" w:line="245" w:lineRule="auto"/>
        <w:tabs>
          <w:tab w:leader="none" w:pos="25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Applications. </w:t>
      </w:r>
      <w:r>
        <w:rPr>
          <w:rFonts w:ascii="Times New Roman" w:cs="Times New Roman" w:eastAsia="Times New Roman" w:hAnsi="Times New Roman"/>
          <w:sz w:val="22"/>
          <w:szCs w:val="22"/>
          <w:color w:val="auto"/>
        </w:rPr>
        <w:t>At any time before the Termination Date, the L/C Issuer shall, at the request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issue one or more Letters of Credit in U.S. Dollars, in a form satisfactory to the L/C Issuer, with expiration dates no later than the earlier of (x) with respect to standby letters of credit, 12 months from the date of issuance (or which are cancelable not later than 12 months from the date of issuance and each renewal) and with respect to commercial letters of credit, ninety (90) days from the date of issuance, and (y) thirty (30) days prior to the Termination Date, in an aggregate face amount as set forth above, upon the receipt of an application duly executed by the Borrower for the relevant Letter of Credit in the form then customarily prescribed by the L/C Issuer for the Letter of Credit requested (each an </w:t>
      </w:r>
      <w:r>
        <w:rPr>
          <w:rFonts w:ascii="Times New Roman" w:cs="Times New Roman" w:eastAsia="Times New Roman" w:hAnsi="Times New Roman"/>
          <w:sz w:val="22"/>
          <w:szCs w:val="22"/>
          <w:i w:val="1"/>
          <w:iCs w:val="1"/>
          <w:color w:val="auto"/>
        </w:rPr>
        <w:t>“Application”</w:t>
      </w:r>
      <w:r>
        <w:rPr>
          <w:rFonts w:ascii="Times New Roman" w:cs="Times New Roman" w:eastAsia="Times New Roman" w:hAnsi="Times New Roman"/>
          <w:sz w:val="22"/>
          <w:szCs w:val="22"/>
          <w:color w:val="auto"/>
        </w:rPr>
        <w:t>). Notwithstanding anything contained in any Application to the contrary: (A) the Borrower shall pay fees in connection with each Letter of Credit as set forth in Section 2.1 hereof, (B) except as otherwise provided herein (including in Section 1.6 or Section 1.13 or Section 9 hereof), unless an Event of Default exists, the L/C Issuer will not call for the funding by the Borrower of any amount under a Letter of Credit before being presented with a drawing thereunder, and (C) if the L/C Issuer is not timely reimbursed for the amount of any drawing under a Letter of Credit on the date such drawing is paid, except as otherwise provided for in Section 1.4(c) hereof, the Borrower’s obligation to reimburse the L/C Issuer for the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7" w:right="339" w:bottom="1440" w:gutter="0" w:footer="0" w:header="0"/>
        </w:sectPr>
      </w:pPr>
    </w:p>
    <w:bookmarkStart w:id="146" w:name="page147"/>
    <w:bookmarkEnd w:id="146"/>
    <w:p>
      <w:pPr>
        <w:jc w:val="both"/>
        <w:ind w:left="1300"/>
        <w:spacing w:after="0" w:line="258" w:lineRule="auto"/>
        <w:rPr>
          <w:sz w:val="20"/>
          <w:szCs w:val="20"/>
          <w:color w:val="auto"/>
        </w:rPr>
      </w:pPr>
      <w:r>
        <w:rPr>
          <w:rFonts w:ascii="Times New Roman" w:cs="Times New Roman" w:eastAsia="Times New Roman" w:hAnsi="Times New Roman"/>
          <w:sz w:val="21"/>
          <w:szCs w:val="21"/>
          <w:color w:val="auto"/>
        </w:rPr>
        <w:t>drawing shall bear interest (which the Borrower hereby promises to pay) from and after the date such drawing is paid at a rate per annum equal to the sum of the Applicable Margin plus the Base Rate from time to time in effect (computed on the basis of a year of 360 days and the actual number of days elapsed). If the L/C Issuer issues any Letter of Credit with an expiration date that is automatically extended unless the L/C Issuer gives notice that the expiration date will not so extend beyond its then scheduled expiration date, unless the Administrative Agent or the Required Lenders instruct the L/C Issuer otherwise, the L/C Issuer will give such notice of non-renewal before the time necessary to prevent such automatic extension if before such required notice date: (A) the expiration date of such Letter of Credit if so extended would be after the Termination Date, (B) the Revolving Commitments have been terminated, or (C) a Default or an Event of Default exists and either the Administrative Agent or the Required Lenders (with notice to the Administrative Agent) have given the L/C Issuer instructions not to so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1.1(c).</w:t>
      </w:r>
    </w:p>
    <w:p>
      <w:pPr>
        <w:spacing w:after="0" w:line="172" w:lineRule="exact"/>
        <w:rPr>
          <w:sz w:val="20"/>
          <w:szCs w:val="20"/>
          <w:color w:val="auto"/>
        </w:rPr>
      </w:pPr>
    </w:p>
    <w:p>
      <w:pPr>
        <w:jc w:val="both"/>
        <w:ind w:left="1300" w:firstLine="652"/>
        <w:spacing w:after="0" w:line="257" w:lineRule="auto"/>
        <w:tabs>
          <w:tab w:leader="none" w:pos="259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The Reimbursement Obligations. </w:t>
      </w:r>
      <w:r>
        <w:rPr>
          <w:rFonts w:ascii="Times New Roman" w:cs="Times New Roman" w:eastAsia="Times New Roman" w:hAnsi="Times New Roman"/>
          <w:sz w:val="21"/>
          <w:szCs w:val="21"/>
          <w:color w:val="auto"/>
        </w:rPr>
        <w:t>Subject to Section 1.1(c)(ii) hereof, the obligation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to reimburse the L/C Issuer for all drawings under a Letter of Credit (a </w:t>
      </w:r>
      <w:r>
        <w:rPr>
          <w:rFonts w:ascii="Times New Roman" w:cs="Times New Roman" w:eastAsia="Times New Roman" w:hAnsi="Times New Roman"/>
          <w:sz w:val="21"/>
          <w:szCs w:val="21"/>
          <w:i w:val="1"/>
          <w:iCs w:val="1"/>
          <w:color w:val="auto"/>
        </w:rPr>
        <w:t>“Reimbursement Obligation”</w:t>
      </w:r>
      <w:r>
        <w:rPr>
          <w:rFonts w:ascii="Times New Roman" w:cs="Times New Roman" w:eastAsia="Times New Roman" w:hAnsi="Times New Roman"/>
          <w:sz w:val="21"/>
          <w:szCs w:val="21"/>
          <w:color w:val="auto"/>
        </w:rPr>
        <w:t>) shall be governed by the Application related to such Letter of Credit, except that reimbursement shall be made by no later than 12:00 Noon (New York time) on the date when each drawing is to be paid if the Borrower has been informed of such drawing by the L/C Issuer on or before 11:00 a.m. (New York time) on the date when such drawing is to be paid or, if notice of such drawing is given to the Borrower after 11:00 a.m. (New York time) on the date when such drawing is to be paid, by no later than 12:00 Noon (New York time) on the following Business Day, in immediately available funds at the Administrative Agent’s principal office in New York City, New York,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1.1(c)(v) below, then all payments thereafter received by the Administrative Agent in discharge of any of the relevant Reimbursement Obligations shall be distributed in accordance with Section 1.1(c)</w:t>
      </w:r>
    </w:p>
    <w:p>
      <w:pPr>
        <w:ind w:left="1600" w:hanging="296"/>
        <w:spacing w:after="0"/>
        <w:tabs>
          <w:tab w:leader="none" w:pos="16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w:t>
      </w:r>
    </w:p>
    <w:p>
      <w:pPr>
        <w:spacing w:after="0" w:line="191"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9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Obligations Absolute. </w:t>
      </w:r>
      <w:r>
        <w:rPr>
          <w:rFonts w:ascii="Times New Roman" w:cs="Times New Roman" w:eastAsia="Times New Roman" w:hAnsi="Times New Roman"/>
          <w:sz w:val="22"/>
          <w:szCs w:val="22"/>
          <w:color w:val="auto"/>
        </w:rPr>
        <w:t>The Borrower’s obligation to reimburse L/C Obligations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subsection (iii) above shall be absolute, unconditional and irrevocable, and shall be performed strictly in accordance with the terms of this Agreement and the relevant Application under any and all circumstances whatsoever and irrespective of (A) any lack of validity or enforceability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1" w:right="339" w:bottom="1440" w:gutter="0" w:footer="0" w:header="0"/>
        </w:sectPr>
      </w:pPr>
    </w:p>
    <w:bookmarkStart w:id="147" w:name="page148"/>
    <w:bookmarkEnd w:id="147"/>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 xml:space="preserve">Letter of Credit or this Agreement, or any term or provision therein, (B) any draft or other document presented under a Letter of Credit proving to be forged, fraudulent or invalid in any respect or any statement therein being untrue or inaccurate in any respect, (C) payment by the L/C Issuer under a Letter of Credit against presentation of a draft or other document that does not strictly comply with the terms of such Letter of Credit, or (D)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determined by a court of competent jurisdiction by final and nonappealable judgment),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5" w:lineRule="exact"/>
        <w:rPr>
          <w:sz w:val="20"/>
          <w:szCs w:val="20"/>
          <w:color w:val="auto"/>
        </w:rPr>
      </w:pPr>
    </w:p>
    <w:p>
      <w:pPr>
        <w:jc w:val="both"/>
        <w:ind w:left="1300" w:firstLine="652"/>
        <w:spacing w:after="0" w:line="248" w:lineRule="auto"/>
        <w:tabs>
          <w:tab w:leader="none" w:pos="25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The Participating Interests. </w:t>
      </w:r>
      <w:r>
        <w:rPr>
          <w:rFonts w:ascii="Times New Roman" w:cs="Times New Roman" w:eastAsia="Times New Roman" w:hAnsi="Times New Roman"/>
          <w:sz w:val="22"/>
          <w:szCs w:val="22"/>
          <w:color w:val="auto"/>
        </w:rPr>
        <w:t>Each Lender (other than the Lender acting as L/C Issuer in issuing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relevant Letter of Credit), by its acceptance hereof, severally agrees to purchase from the L/C Issuer, and the L/C Issuer hereby agrees to sell to each such Lender (a </w:t>
      </w:r>
      <w:r>
        <w:rPr>
          <w:rFonts w:ascii="Times New Roman" w:cs="Times New Roman" w:eastAsia="Times New Roman" w:hAnsi="Times New Roman"/>
          <w:sz w:val="22"/>
          <w:szCs w:val="22"/>
          <w:i w:val="1"/>
          <w:iCs w:val="1"/>
          <w:color w:val="auto"/>
        </w:rPr>
        <w:t>“Participating Lender”</w:t>
      </w:r>
      <w:r>
        <w:rPr>
          <w:rFonts w:ascii="Times New Roman" w:cs="Times New Roman" w:eastAsia="Times New Roman" w:hAnsi="Times New Roman"/>
          <w:sz w:val="22"/>
          <w:szCs w:val="22"/>
          <w:color w:val="auto"/>
        </w:rPr>
        <w:t xml:space="preserve">), an undivided percentage participating interest (a </w:t>
      </w:r>
      <w:r>
        <w:rPr>
          <w:rFonts w:ascii="Times New Roman" w:cs="Times New Roman" w:eastAsia="Times New Roman" w:hAnsi="Times New Roman"/>
          <w:sz w:val="22"/>
          <w:szCs w:val="22"/>
          <w:i w:val="1"/>
          <w:iCs w:val="1"/>
          <w:color w:val="auto"/>
        </w:rPr>
        <w:t>“Participating Interest”)</w:t>
      </w:r>
      <w:r>
        <w:rPr>
          <w:rFonts w:ascii="Times New Roman" w:cs="Times New Roman" w:eastAsia="Times New Roman" w:hAnsi="Times New Roman"/>
          <w:sz w:val="22"/>
          <w:szCs w:val="22"/>
          <w:color w:val="auto"/>
        </w:rPr>
        <w:t>, to the extent of its Revolver Percentage, in each Letter of Credit issued by, and each Reimbursement Obligation owed to, the L/C Issuer. Upon any failure by the Borrower to pay any Reimbursement Obligation at the time required on the date the related drawing is to be paid, as set forth in Section 1.1(c)(iii) above,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1" w:right="339" w:bottom="1440" w:gutter="0" w:footer="0" w:header="0"/>
        </w:sectPr>
      </w:pPr>
    </w:p>
    <w:bookmarkStart w:id="148" w:name="page149"/>
    <w:bookmarkEnd w:id="148"/>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L/C Issuer is required at any time to return to the Borrower or to a trustee, receiver, liquidator, custodian or other Person any portion of any payment of any Reimbursement Obligation, each Participating Lender shall, not later than the Business Day it receives a request from the L/C Issuer (with a copy to the Administrative Agent) to such effect, if such request is received before 1:00 p.m. (New York time), or not later than 1:00 p.m. (New York time) the following Business Day, if such request is received after such time, pay to the Administrative Agent for the account of the L/C Issuer an amount equal to such Participating Lender’s Revolver Percentage of such unpaid or recaptured Reimbursement Obligation together with interest on such amount accrued from the date the related payment was made by the L/C Issuer to the date of such payment by such Participating Lender at a rate per annum equal to: (A) from the date the related payment was made by the L/C Issuer to the date two (2) Business Days after payment by such Participating Lender is due hereunder, the Federal Funds Rate for each such day and (B)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Lender hereunder. The several obligations of the Participating Lenders to the L/C Issuer under this Section 1.1(c) shall be absolute, irrevocable, and unconditional under any and all circumstances whatsoever and shall not be subject to any set-off, counterclaim or defense to payment which any Participating Lender may have or have had against the Borrower, the L/C Issuer, the Administrative Agent, any Lender or any other Person whatsoever. Without limiting the generality of the foregoing, such obligations shall not be affected by any Default or Event of Default or by any reduction or termination of any Revolving Commitment of any Lender, and each payment by a Participating Lender under this Section 1.1(c) shall be made without any offset, abatement, withholding or reduction whatsoever.</w:t>
      </w:r>
    </w:p>
    <w:p>
      <w:pPr>
        <w:spacing w:after="0" w:line="197" w:lineRule="exact"/>
        <w:rPr>
          <w:sz w:val="20"/>
          <w:szCs w:val="20"/>
          <w:color w:val="auto"/>
        </w:rPr>
      </w:pPr>
    </w:p>
    <w:p>
      <w:pPr>
        <w:jc w:val="both"/>
        <w:ind w:left="1300" w:firstLine="652"/>
        <w:spacing w:after="0" w:line="247" w:lineRule="auto"/>
        <w:tabs>
          <w:tab w:leader="none" w:pos="25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The Participating Lenders shall, to the extent of their respective Revolver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Percentages, indemnify the L/C Issuer (to the extent not reimbursed by the Borrower) against any cost, expense (including reasonable counsel fees and disbursements), claim, demand, action, loss or liability (except such as result from such L/C Issuer’s gross negligence or willful misconduct as determined by a court of competent jurisdiction by final and nonappealable judgment) that the L/C Issuer may suffer or incur in connection with any Letter of Credit issued by it. The obligations of the Participating Lenders under this Section 1.1(c)(vi) and all other parts of this Section 1.1(c) shall survive termination of this Agreement and of all Applications, Letters of Credit, and all drafts and other documents presented in connection with drawings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1" w:right="339" w:bottom="1440" w:gutter="0" w:footer="0" w:header="0"/>
        </w:sectPr>
      </w:pPr>
    </w:p>
    <w:bookmarkStart w:id="149" w:name="page150"/>
    <w:bookmarkEnd w:id="149"/>
    <w:p>
      <w:pPr>
        <w:jc w:val="both"/>
        <w:ind w:left="1300" w:firstLine="652"/>
        <w:spacing w:after="0" w:line="246" w:lineRule="auto"/>
        <w:tabs>
          <w:tab w:leader="none" w:pos="25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Manner of Requesting a Letter of Credit. </w:t>
      </w:r>
      <w:r>
        <w:rPr>
          <w:rFonts w:ascii="Times New Roman" w:cs="Times New Roman" w:eastAsia="Times New Roman" w:hAnsi="Times New Roman"/>
          <w:sz w:val="22"/>
          <w:szCs w:val="22"/>
          <w:color w:val="auto"/>
        </w:rPr>
        <w:t>The Borrower shall provide at least five (5)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advance written notice (or such longer period if required by the Administrative Agent)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Lenders) and the L/C Issuer shall promptly notify the Administrative Agent and the Lenders of the issuance of the Letter of Credit so requested.</w:t>
      </w:r>
    </w:p>
    <w:p>
      <w:pPr>
        <w:spacing w:after="0" w:line="185" w:lineRule="exact"/>
        <w:rPr>
          <w:rFonts w:ascii="Times New Roman" w:cs="Times New Roman" w:eastAsia="Times New Roman" w:hAnsi="Times New Roman"/>
          <w:sz w:val="22"/>
          <w:szCs w:val="22"/>
          <w:color w:val="auto"/>
        </w:rPr>
      </w:pPr>
    </w:p>
    <w:p>
      <w:pPr>
        <w:jc w:val="both"/>
        <w:ind w:left="1300" w:firstLine="652"/>
        <w:spacing w:after="0" w:line="246" w:lineRule="auto"/>
        <w:tabs>
          <w:tab w:leader="none" w:pos="25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the L/C Issuer</w:t>
      </w:r>
      <w:r>
        <w:rPr>
          <w:rFonts w:ascii="Times New Roman" w:cs="Times New Roman" w:eastAsia="Times New Roman" w:hAnsi="Times New Roman"/>
          <w:sz w:val="22"/>
          <w:szCs w:val="22"/>
          <w:color w:val="auto"/>
        </w:rPr>
        <w:t>. The L/C Issuer may be replaced at any time by written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From and after the effective date of any such replacement (A) the successor L/C Issuer shall have all the rights and obligations of the L/C Issuer under this Agreement with respect to Letters of Credit to be issued thereafter and (B) references herein to the term “L/C Issuer”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b. Applicable Interest Rates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Base Rate Loans. </w:t>
      </w:r>
      <w:r>
        <w:rPr>
          <w:rFonts w:ascii="Times New Roman" w:cs="Times New Roman" w:eastAsia="Times New Roman" w:hAnsi="Times New Roman"/>
          <w:sz w:val="22"/>
          <w:szCs w:val="22"/>
          <w:color w:val="auto"/>
        </w:rPr>
        <w:t>Each Base Rate Loan made or maintained by a Lender shall bear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(computed on the basis of a year of 365 or 366 days, as the case may be, and the actual days elapsed) on the unpaid principal amount thereof from the date such Loan is advanced, or created by conversion from a Eurodollar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80" w:lineRule="exact"/>
        <w:rPr>
          <w:sz w:val="20"/>
          <w:szCs w:val="20"/>
          <w:color w:val="auto"/>
        </w:rPr>
      </w:pPr>
    </w:p>
    <w:p>
      <w:pPr>
        <w:jc w:val="both"/>
        <w:ind w:left="80" w:right="140" w:firstLine="713"/>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“Base Rate” </w:t>
      </w:r>
      <w:r>
        <w:rPr>
          <w:rFonts w:ascii="Times New Roman" w:cs="Times New Roman" w:eastAsia="Times New Roman" w:hAnsi="Times New Roman"/>
          <w:sz w:val="22"/>
          <w:szCs w:val="22"/>
          <w:color w:val="auto"/>
        </w:rPr>
        <w:t>means, for any day, the rate per annum equal to the greatest of: (a) the rate of interest published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Wall Street Journal as the U.S. dollar “prime rate” for such day and if the Wall Street Journal does not publish such rate on such day then such rate as most recently published prior to such day, (b) the sum of (i) the Funds Rate for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7" w:right="339" w:bottom="1440" w:gutter="0" w:footer="0" w:header="0"/>
        </w:sectPr>
      </w:pPr>
    </w:p>
    <w:bookmarkStart w:id="150" w:name="page151"/>
    <w:bookmarkEnd w:id="150"/>
    <w:p>
      <w:pPr>
        <w:jc w:val="both"/>
        <w:ind w:left="80" w:right="140"/>
        <w:spacing w:after="0" w:line="247" w:lineRule="auto"/>
        <w:rPr>
          <w:sz w:val="20"/>
          <w:szCs w:val="20"/>
          <w:color w:val="auto"/>
        </w:rPr>
      </w:pPr>
      <w:r>
        <w:rPr>
          <w:rFonts w:ascii="Times New Roman" w:cs="Times New Roman" w:eastAsia="Times New Roman" w:hAnsi="Times New Roman"/>
          <w:sz w:val="22"/>
          <w:szCs w:val="22"/>
          <w:color w:val="auto"/>
        </w:rPr>
        <w:t xml:space="preserve">1/2 of 1%, and (c) the LIBOR Quoted Rate for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1.00%. As used herein, the term </w:t>
      </w:r>
      <w:r>
        <w:rPr>
          <w:rFonts w:ascii="Times New Roman" w:cs="Times New Roman" w:eastAsia="Times New Roman" w:hAnsi="Times New Roman"/>
          <w:sz w:val="22"/>
          <w:szCs w:val="22"/>
          <w:i w:val="1"/>
          <w:iCs w:val="1"/>
          <w:color w:val="auto"/>
        </w:rPr>
        <w:t>“LIBOR Quoted Rate”</w:t>
      </w:r>
      <w:r>
        <w:rPr>
          <w:rFonts w:ascii="Times New Roman" w:cs="Times New Roman" w:eastAsia="Times New Roman" w:hAnsi="Times New Roman"/>
          <w:sz w:val="22"/>
          <w:szCs w:val="22"/>
          <w:color w:val="auto"/>
        </w:rPr>
        <w:t xml:space="preserve"> means, for any day, the rate per annum equal to the quotient of (i) the London interbank offered rate as administered by the ICE Benchmark Administration (or any other Person that takes over the administration of such rate) for deposits in Dollars with a term equivalent to such Interest Period as displayed on the Reuters screen page that displays such rate (currently page LIBOR01) (or, in the event such rate does not appear on a Reuters page or screen, on the appropriate page of such other information service that publishes such rate as shall be selected by the Administrative Agent from time to time in its reasonable discretion) at approximately 11:00 a.m., London time, two (2) Business Days prior to the commencement of such Interest Period divided by (ii) a percentage equal to 100% minus the Eurodollar Reserve Percentage for such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“LIBOR Quoted Rate” be less than 0.00%.</w:t>
      </w:r>
    </w:p>
    <w:p>
      <w:pPr>
        <w:spacing w:after="0" w:line="181" w:lineRule="exact"/>
        <w:rPr>
          <w:sz w:val="20"/>
          <w:szCs w:val="20"/>
          <w:color w:val="auto"/>
        </w:rPr>
      </w:pPr>
    </w:p>
    <w:p>
      <w:pPr>
        <w:jc w:val="both"/>
        <w:ind w:firstLine="444"/>
        <w:spacing w:after="0" w:line="249"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Eurodollar Loans.</w:t>
      </w:r>
      <w:r>
        <w:rPr>
          <w:rFonts w:ascii="Times New Roman" w:cs="Times New Roman" w:eastAsia="Times New Roman" w:hAnsi="Times New Roman"/>
          <w:sz w:val="22"/>
          <w:szCs w:val="22"/>
          <w:color w:val="auto"/>
        </w:rPr>
        <w:t xml:space="preserve"> Each Eurodollar Loan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Adjusted LIBOR applicable for such Interest Period, payable by the Borrower on each Interest Payment Date and at maturity (whether by acceleration or otherwise).</w:t>
      </w:r>
    </w:p>
    <w:p>
      <w:pPr>
        <w:spacing w:after="0" w:line="180" w:lineRule="exact"/>
        <w:rPr>
          <w:sz w:val="20"/>
          <w:szCs w:val="20"/>
          <w:color w:val="auto"/>
        </w:rPr>
      </w:pPr>
    </w:p>
    <w:p>
      <w:pPr>
        <w:jc w:val="both"/>
        <w:ind w:left="80" w:right="120" w:firstLine="713"/>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“Adjusted LIBOR” </w:t>
      </w:r>
      <w:r>
        <w:rPr>
          <w:rFonts w:ascii="Times New Roman" w:cs="Times New Roman" w:eastAsia="Times New Roman" w:hAnsi="Times New Roman"/>
          <w:sz w:val="22"/>
          <w:szCs w:val="22"/>
          <w:color w:val="auto"/>
        </w:rPr>
        <w:t>means, for any Borrowing of Eurodollar Loans, a rate per annum determined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following formula:</w:t>
      </w:r>
    </w:p>
    <w:p>
      <w:pPr>
        <w:spacing w:after="0" w:line="207" w:lineRule="exact"/>
        <w:rPr>
          <w:sz w:val="20"/>
          <w:szCs w:val="20"/>
          <w:color w:val="auto"/>
        </w:rPr>
      </w:pPr>
    </w:p>
    <w:p>
      <w:pPr>
        <w:ind w:left="3880"/>
        <w:spacing w:after="0"/>
        <w:tabs>
          <w:tab w:leader="none" w:pos="7260" w:val="left"/>
        </w:tabs>
        <w:rPr>
          <w:sz w:val="20"/>
          <w:szCs w:val="20"/>
          <w:color w:val="auto"/>
        </w:rPr>
      </w:pPr>
      <w:r>
        <w:rPr>
          <w:rFonts w:ascii="Times New Roman" w:cs="Times New Roman" w:eastAsia="Times New Roman" w:hAnsi="Times New Roman"/>
          <w:sz w:val="22"/>
          <w:szCs w:val="22"/>
          <w:color w:val="auto"/>
        </w:rPr>
        <w:t>Adjusted LIBOR =</w:t>
      </w:r>
      <w:r>
        <w:rPr>
          <w:sz w:val="20"/>
          <w:szCs w:val="20"/>
          <w:color w:val="auto"/>
        </w:rPr>
        <w:tab/>
      </w:r>
      <w:r>
        <w:rPr>
          <w:rFonts w:ascii="Times New Roman" w:cs="Times New Roman" w:eastAsia="Times New Roman" w:hAnsi="Times New Roman"/>
          <w:sz w:val="21"/>
          <w:szCs w:val="21"/>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27940</wp:posOffset>
            </wp:positionV>
            <wp:extent cx="2588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5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1 - Eurodollar Reserve Percentage</w:t>
      </w:r>
    </w:p>
    <w:p>
      <w:pPr>
        <w:spacing w:after="0" w:line="378" w:lineRule="exact"/>
        <w:rPr>
          <w:sz w:val="20"/>
          <w:szCs w:val="20"/>
          <w:color w:val="auto"/>
        </w:rPr>
      </w:pPr>
    </w:p>
    <w:p>
      <w:pPr>
        <w:jc w:val="both"/>
        <w:ind w:left="80" w:right="140" w:firstLine="713"/>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“Eurodollar Reserve Percentage” </w:t>
      </w:r>
      <w:r>
        <w:rPr>
          <w:rFonts w:ascii="Times New Roman" w:cs="Times New Roman" w:eastAsia="Times New Roman" w:hAnsi="Times New Roman"/>
          <w:sz w:val="22"/>
          <w:szCs w:val="22"/>
          <w:color w:val="auto"/>
        </w:rPr>
        <w:t>means the maximum reserve percentage, expressed as a decimal, at which reserves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(including, without limitation, any emergency, marginal, special, and supplemental reserves) are imposed by the Board of Governors of the Federal Reserve System (or any successor) on </w:t>
      </w:r>
      <w:r>
        <w:rPr>
          <w:rFonts w:ascii="Times New Roman" w:cs="Times New Roman" w:eastAsia="Times New Roman" w:hAnsi="Times New Roman"/>
          <w:sz w:val="22"/>
          <w:szCs w:val="22"/>
          <w:i w:val="1"/>
          <w:iCs w:val="1"/>
          <w:color w:val="auto"/>
        </w:rPr>
        <w:t>“eurocurrency liabilities”</w:t>
      </w:r>
      <w:r>
        <w:rPr>
          <w:rFonts w:ascii="Times New Roman" w:cs="Times New Roman" w:eastAsia="Times New Roman" w:hAnsi="Times New Roman"/>
          <w:sz w:val="22"/>
          <w:szCs w:val="22"/>
          <w:color w:val="auto"/>
        </w:rPr>
        <w:t xml:space="preserve">, as defined in such Board’s Regulation D (or any successor thereto), subject to any amendments of such reserve requirement by such Board or its successor, taking into account any transitional adjustments thereto. For purposes of this definition, the relevant Loans shall be deemed to be </w:t>
      </w:r>
      <w:r>
        <w:rPr>
          <w:rFonts w:ascii="Times New Roman" w:cs="Times New Roman" w:eastAsia="Times New Roman" w:hAnsi="Times New Roman"/>
          <w:sz w:val="22"/>
          <w:szCs w:val="22"/>
          <w:i w:val="1"/>
          <w:iCs w:val="1"/>
          <w:color w:val="auto"/>
        </w:rPr>
        <w:t>“eurocurrency liabilities”</w:t>
      </w:r>
      <w:r>
        <w:rPr>
          <w:rFonts w:ascii="Times New Roman" w:cs="Times New Roman" w:eastAsia="Times New Roman" w:hAnsi="Times New Roman"/>
          <w:sz w:val="22"/>
          <w:szCs w:val="22"/>
          <w:color w:val="auto"/>
        </w:rPr>
        <w:t xml:space="preserve"> as defined in Regulation D without benefit or credit for any prorations, exemptions or offsets under Regulation D. The Eurodollar Reserve Percentage shall be adjusted automatically on and as of the effective date of any change in any such reserve percentage.</w:t>
      </w:r>
    </w:p>
    <w:p>
      <w:pPr>
        <w:spacing w:after="0" w:line="185" w:lineRule="exact"/>
        <w:rPr>
          <w:sz w:val="20"/>
          <w:szCs w:val="20"/>
          <w:color w:val="auto"/>
        </w:rPr>
      </w:pPr>
    </w:p>
    <w:p>
      <w:pPr>
        <w:jc w:val="both"/>
        <w:ind w:left="80" w:right="60" w:firstLine="713"/>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“LIBOR” </w:t>
      </w:r>
      <w:r>
        <w:rPr>
          <w:rFonts w:ascii="Times New Roman" w:cs="Times New Roman" w:eastAsia="Times New Roman" w:hAnsi="Times New Roman"/>
          <w:sz w:val="22"/>
          <w:szCs w:val="22"/>
          <w:color w:val="auto"/>
        </w:rPr>
        <w:t>means, for an Interest Period for a Borrowing of Eurodollar Loans, (a) the LIBOR Index Rate for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Period, if such rate is available, and (b) if the LIBOR Index Rate cannot be determined, the arithmetic average of the rates of interest per annum (rounded upwards, if necessary, to the nearest 1/100 of 1%) at which deposits in U.S. Dollars in immediately available funds are offered to the Administrative Agent at 11:00 a.m. (London, England time) two (2) Business Days before the beginning of such Interest Period by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7" w:right="339" w:bottom="1440" w:gutter="0" w:footer="0" w:header="0"/>
        </w:sectPr>
      </w:pPr>
    </w:p>
    <w:bookmarkStart w:id="151" w:name="page152"/>
    <w:bookmarkEnd w:id="151"/>
    <w:p>
      <w:pPr>
        <w:jc w:val="both"/>
        <w:ind w:left="80" w:right="60"/>
        <w:spacing w:after="0" w:line="257" w:lineRule="auto"/>
        <w:rPr>
          <w:sz w:val="20"/>
          <w:szCs w:val="20"/>
          <w:color w:val="auto"/>
        </w:rPr>
      </w:pPr>
      <w:r>
        <w:rPr>
          <w:rFonts w:ascii="Times New Roman" w:cs="Times New Roman" w:eastAsia="Times New Roman" w:hAnsi="Times New Roman"/>
          <w:sz w:val="22"/>
          <w:szCs w:val="22"/>
          <w:color w:val="auto"/>
        </w:rPr>
        <w:t>or more major banks in the interbank eurodollar market selected by the Administrative Agent for delivery on the first day of and for a period equal to such Interest Period and in an amount equal or comparable to the principal amount of the Eurodollar Loan scheduled to be made as part of such Borrowing, provided that in no event shall “LIBOR” be less than 0.00%.</w:t>
      </w:r>
    </w:p>
    <w:p>
      <w:pPr>
        <w:spacing w:after="0" w:line="169" w:lineRule="exact"/>
        <w:rPr>
          <w:sz w:val="20"/>
          <w:szCs w:val="20"/>
          <w:color w:val="auto"/>
        </w:rPr>
      </w:pPr>
    </w:p>
    <w:p>
      <w:pPr>
        <w:jc w:val="both"/>
        <w:ind w:left="80" w:right="60" w:firstLine="713"/>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“LIBOR Index Rate” </w:t>
      </w:r>
      <w:r>
        <w:rPr>
          <w:rFonts w:ascii="Times New Roman" w:cs="Times New Roman" w:eastAsia="Times New Roman" w:hAnsi="Times New Roman"/>
          <w:sz w:val="22"/>
          <w:szCs w:val="22"/>
          <w:color w:val="auto"/>
        </w:rPr>
        <w:t>means, with respect to any Borrowing for any Interest Period, a rate per annum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London interbank offered rate as administered by the ICE Benchmark Administration (or any other Person that takes over the administration of such rate) for deposits in Dollars with a term equivalent to such Interest Period as displayed on the Reuters screen page that displays such rate (currently page LIBOR01) (or, in the event such rate does not appear on a Reuters page or screen, on the appropriate page of such other information service that publishes such rate as shall be selected by the Administrative Agent from time to time in its reasonable discretion) at approximately 11:00 a.m., London time, two (2) Business Days prior to the commencement of such Interest Period; </w:t>
      </w:r>
      <w:r>
        <w:rPr>
          <w:rFonts w:ascii="Times New Roman" w:cs="Times New Roman" w:eastAsia="Times New Roman" w:hAnsi="Times New Roman"/>
          <w:sz w:val="22"/>
          <w:szCs w:val="22"/>
          <w:b w:val="1"/>
          <w:bCs w:val="1"/>
          <w:color w:val="auto"/>
        </w:rPr>
        <w:t>provided</w:t>
      </w:r>
      <w:r>
        <w:rPr>
          <w:rFonts w:ascii="Times New Roman" w:cs="Times New Roman" w:eastAsia="Times New Roman" w:hAnsi="Times New Roman"/>
          <w:sz w:val="22"/>
          <w:szCs w:val="22"/>
          <w:color w:val="auto"/>
        </w:rPr>
        <w:t xml:space="preserve"> that in no event shall the LIBOR Index Rate be less than zero. In the event that such rate is not available at such time for any reason, then the LIBOR Index Rate with respect to such Borrowing for such Interest Period shall be the rate at which dollar deposits in the amount of the requested Borrowing and for a maturity comparable to such Interest Period are offered by the principal London office of the Administrative Agent in immediately available funds in the London interbank market at approximately 11:00 a.m., London time, two (2) Business Days prior to the commencement of such Interest Period.</w:t>
      </w:r>
    </w:p>
    <w:p>
      <w:pPr>
        <w:spacing w:after="0" w:line="18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Rate Determinations.</w:t>
      </w:r>
      <w:r>
        <w:rPr>
          <w:rFonts w:ascii="Times New Roman" w:cs="Times New Roman" w:eastAsia="Times New Roman" w:hAnsi="Times New Roman"/>
          <w:sz w:val="22"/>
          <w:szCs w:val="22"/>
          <w:color w:val="auto"/>
        </w:rPr>
        <w:t xml:space="preserve"> The Administrative Agent shall determine each interest rate applicable to the Loans and the Reimbursement Obligations hereunder, and its determination thereof shall be conclusive and binding except in the case of manifest error.</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c. Minimum Borrowing Amounts; Maximum Eurodollar Loans</w:t>
      </w:r>
      <w:r>
        <w:rPr>
          <w:rFonts w:ascii="Times New Roman" w:cs="Times New Roman" w:eastAsia="Times New Roman" w:hAnsi="Times New Roman"/>
          <w:sz w:val="22"/>
          <w:szCs w:val="22"/>
          <w:color w:val="auto"/>
        </w:rPr>
        <w:t>. Each Borrowing of Base Rate Loans shall be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amount not less than $200,000. Each Borrowing of Eurodollar Loans advanced, continued or converted shall be in an amount equal to $500,000 or such greater amount which is an integral multiple of $100,000. Without the Administrative Agent’s consent, there shall not be more than ten (10) Borrowings of Eurodollar Loans outstanding hereunder at any one time.</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i w:val="1"/>
          <w:iCs w:val="1"/>
          <w:color w:val="auto"/>
        </w:rPr>
        <w:t>Section d. Manner of Borrowing Loans and Designating Applicable Interest Rates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Notice to the Administrative Agent. </w:t>
      </w:r>
      <w:r>
        <w:rPr>
          <w:rFonts w:ascii="Times New Roman" w:cs="Times New Roman" w:eastAsia="Times New Roman" w:hAnsi="Times New Roman"/>
          <w:sz w:val="21"/>
          <w:szCs w:val="21"/>
          <w:color w:val="auto"/>
        </w:rPr>
        <w:t>The Borrower shall give notice to the Administrative Agent by no later than 11:00 a.m. (New York time): (i) at least three (3) Business Days before the date on which the Borrower requests the Lenders to advance a Borrowing of Eurodollar Loans and (ii) on the date the Borrower requests the Lenders to advance a Borrowing of Base Rate Loans. The Loans included in each Borrowing shall bear interest initially at the type of rate specified in such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Section 1.3 hereof, a portion thereof, as follows: (i) if such Borrowing is of Eurodollar Loans, on the last day of the Interest Period applicable thereto, the Borrower may continue part or all of such Borrowing as Eurodollar Loans or convert part or all of such Borrowing into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1"/>
          <w:szCs w:val="21"/>
          <w:color w:val="auto"/>
        </w:rPr>
        <w:t>Rate Loans or (ii) if such Borrowing is of Base Rate Loans, on any Business Day, the Borrower may convert all or part of such Borrowing into Eurodollar Loans for an Interest Period or Interest Periods specified by the Borrower. The Borrower shall give all such notices requesting the advance,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A (Notice of Borrowing) or Exhibit B (Notice of Continuation/Conversion), as applicable, or in such other form acceptable to the Administrative Agent. Notice of the continuation of a Borrowing of Eurodollar Loans for an additional Interest Period or of the conversion of part or all of a Borrowing of Base Rate Loans into Eurodollar Loans must be given by no later than 11:00 a.m. (New York time) at least three (3)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Eurodollar Loans, the Interest Period applicable thereto. Upon notice to the Borrower by the Administrative Agent or the Required Lenders (or, in the case of an Event of Default under Section 9.1(j) or 9.1(k) hereof with respect to the Borrower, without notice), no Borrowing of Eurodollar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72" w:lineRule="exact"/>
        <w:rPr>
          <w:sz w:val="20"/>
          <w:szCs w:val="20"/>
          <w:color w:val="auto"/>
        </w:rPr>
      </w:pPr>
    </w:p>
    <w:p>
      <w:pPr>
        <w:jc w:val="both"/>
        <w:ind w:left="660" w:firstLine="444"/>
        <w:spacing w:after="0" w:line="251"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Notice to the Lenders</w:t>
      </w:r>
      <w:r>
        <w:rPr>
          <w:rFonts w:ascii="Times New Roman" w:cs="Times New Roman" w:eastAsia="Times New Roman" w:hAnsi="Times New Roman"/>
          <w:sz w:val="22"/>
          <w:szCs w:val="22"/>
          <w:color w:val="auto"/>
        </w:rPr>
        <w:t>. The Administrative Agent shall give prompt telephonic, telecopy or other telecommunication notice to each applicable Lender of any notice from the Borrower received pursuant to Section 1.4(a) above and, if such notice requests the applicable Lenders to make Eurodollar Loans, the Administrative Agent shall give notice to the Borrower and each Lender by like means of the interest rate applicable thereto promptly after the Administrative Agent has made such determination.</w:t>
      </w:r>
    </w:p>
    <w:p>
      <w:pPr>
        <w:spacing w:after="0" w:line="176" w:lineRule="exact"/>
        <w:rPr>
          <w:sz w:val="20"/>
          <w:szCs w:val="20"/>
          <w:color w:val="auto"/>
        </w:rPr>
      </w:pPr>
    </w:p>
    <w:p>
      <w:pPr>
        <w:jc w:val="both"/>
        <w:ind w:left="660" w:firstLine="384"/>
        <w:spacing w:after="0" w:line="247"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Borrower’s Failure to Notify.</w:t>
      </w:r>
      <w:r>
        <w:rPr>
          <w:rFonts w:ascii="Times New Roman" w:cs="Times New Roman" w:eastAsia="Times New Roman" w:hAnsi="Times New Roman"/>
          <w:sz w:val="22"/>
          <w:szCs w:val="22"/>
          <w:color w:val="auto"/>
        </w:rPr>
        <w:t xml:space="preserve"> If the Borrower fails to give notice pursuant to Section 1.4(a) above of the continuation or conversion of any outstanding principal amount of a Borrowing of Eurodollar Loans before the last day of its then current Interest Period within the period required by Section 1.4(a) and such Borrowing is not prepaid in accordance with Section 1.6(a), such Borrowing shall automatically be converted into a Borrowing of Base Rate Loans. In the event the Borrower fails to give notice pursuant to Section 1.4(a) above of a Borrowing equal to the amount of a Reimbursement Obligation and has not notified the Administrative Agent by 12:00 noon (New York time) on the day such Reimbursement Obligation becomes due that it intends to repay such Reimbursement Obligation through funds not borrowed under this Agreement, the Borrower shall be deemed to have requested a Borrowing of Base Rate Loans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53" w:name="page154"/>
    <w:bookmarkEnd w:id="153"/>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Revolving Commitment on such day in the amount of the Reimbursement Obligation then due, which Borrowing shall be applied to pay the Reimbursement Obligation then due.</w:t>
      </w:r>
    </w:p>
    <w:p>
      <w:pPr>
        <w:spacing w:after="0" w:line="154" w:lineRule="exact"/>
        <w:rPr>
          <w:sz w:val="20"/>
          <w:szCs w:val="20"/>
          <w:color w:val="auto"/>
        </w:rPr>
      </w:pPr>
    </w:p>
    <w:p>
      <w:pPr>
        <w:jc w:val="both"/>
        <w:ind w:left="660" w:firstLine="324"/>
        <w:spacing w:after="0" w:line="247"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Disbursement of Loans</w:t>
      </w:r>
      <w:r>
        <w:rPr>
          <w:rFonts w:ascii="Times New Roman" w:cs="Times New Roman" w:eastAsia="Times New Roman" w:hAnsi="Times New Roman"/>
          <w:sz w:val="22"/>
          <w:szCs w:val="22"/>
          <w:color w:val="auto"/>
        </w:rPr>
        <w:t>. Not later than 2:00 p.m. (New York time) on the date of any requested advance of a new Borrowing, subject to Section 7 hereof, each applicable Lender shall make available its Loan comprising part of such Borrowing in funds immediately available at the principal office of the Administrative Agent in New York, New York (or at such other location as the Administrative Agent shall designate). The Administrative Agent shall make the proceeds of each new Borrowing available to the Borrower at the Administrative Agent’s principal office in New York, New York (or at such other location as the Administrative Agent shall designate), by depositing or wire transferring such proceeds to the credit of the Borrower’s Designated Disbursement Account or as the Borrower and the Administrative Agent may otherwise agree.</w:t>
      </w:r>
    </w:p>
    <w:p>
      <w:pPr>
        <w:spacing w:after="0" w:line="185" w:lineRule="exact"/>
        <w:rPr>
          <w:sz w:val="20"/>
          <w:szCs w:val="20"/>
          <w:color w:val="auto"/>
        </w:rPr>
      </w:pPr>
    </w:p>
    <w:p>
      <w:pPr>
        <w:jc w:val="both"/>
        <w:ind w:left="660" w:firstLine="336"/>
        <w:spacing w:after="0" w:line="257"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i w:val="1"/>
          <w:iCs w:val="1"/>
          <w:color w:val="auto"/>
        </w:rPr>
        <w:t>Administrative Agent Reliance on Lender Funding.</w:t>
      </w:r>
      <w:r>
        <w:rPr>
          <w:rFonts w:ascii="Times New Roman" w:cs="Times New Roman" w:eastAsia="Times New Roman" w:hAnsi="Times New Roman"/>
          <w:sz w:val="21"/>
          <w:szCs w:val="21"/>
          <w:color w:val="auto"/>
        </w:rPr>
        <w:t xml:space="preserve"> Unless the Administrative Agent shall have been notified by a Lender prior to (or, in the case of a Borrowing of Base Rate Loans, by 2:00 p.m. (New York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w:t>
      </w:r>
    </w:p>
    <w:p>
      <w:pPr>
        <w:spacing w:after="0" w:line="3" w:lineRule="exact"/>
        <w:rPr>
          <w:sz w:val="20"/>
          <w:szCs w:val="20"/>
          <w:color w:val="auto"/>
        </w:rPr>
      </w:pPr>
    </w:p>
    <w:p>
      <w:pPr>
        <w:jc w:val="both"/>
        <w:ind w:left="660" w:hanging="4"/>
        <w:spacing w:after="0" w:line="244" w:lineRule="auto"/>
        <w:tabs>
          <w:tab w:leader="none" w:pos="9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date such payment is due from such Lender to the date such payment is made by such Lender, the Base Rate in effect for each such day. If such amount is not received from such Lender by the Administrative Agent immediately upon demand, the Borrower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1.9 hereof so that the Borrower will have no liability under such Section with respect to such payment.</w:t>
      </w:r>
    </w:p>
    <w:p>
      <w:pPr>
        <w:spacing w:after="0" w:line="18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e. Maturity of Loans. </w:t>
      </w:r>
      <w:r>
        <w:rPr>
          <w:rFonts w:ascii="Times New Roman" w:cs="Times New Roman" w:eastAsia="Times New Roman" w:hAnsi="Times New Roman"/>
          <w:sz w:val="22"/>
          <w:szCs w:val="22"/>
          <w:color w:val="auto"/>
        </w:rPr>
        <w:t>Each Loan, both for principal and interest not sooner paid, shall mature and be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by the Borrower on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f. Prepayments. Optional</w:t>
      </w:r>
      <w:r>
        <w:rPr>
          <w:rFonts w:ascii="Times New Roman" w:cs="Times New Roman" w:eastAsia="Times New Roman" w:hAnsi="Times New Roman"/>
          <w:sz w:val="22"/>
          <w:szCs w:val="22"/>
          <w:color w:val="auto"/>
        </w:rPr>
        <w:t>. The Borrower may prepay in whole or in part (but, if in part, then: (i) if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Borrowing is of Base Rate Loans, in an amount not less than $200,000, (ii) if such Borrowing is of Eurodollar Loans, in an amount not less than $500,000, and (iii) in each case, in an amount such that the minimum amount required for a Borrowing pursuant to Section 1.3 hereof remains outstanding) any Borrowing of Eurodollar Loans at any time upon three (3) Business Days prior notice by the Borrower to the Administrative Agent or, in the case of a Borrowing of Base Rate Loans, notice delivered by the Borrower to the Administrative Agent no later than 11:00 a.m. (New York time) on the date of prepayment (or, in any case, such shorter period of time then agreed to by the Administrative Agent), such prepayment to be made by the payment of the principal amount to be prepaid and, in the case of any Eurodollar Loans, accrued interest thereon to the date fixed for prepayment plus any amounts due the Lenders under Section 1.9 hereof.</w:t>
      </w:r>
    </w:p>
    <w:p>
      <w:pPr>
        <w:spacing w:after="0" w:line="181" w:lineRule="exact"/>
        <w:rPr>
          <w:sz w:val="20"/>
          <w:szCs w:val="20"/>
          <w:color w:val="auto"/>
        </w:rPr>
      </w:pPr>
    </w:p>
    <w:p>
      <w:pPr>
        <w:jc w:val="both"/>
        <w:ind w:left="660" w:firstLine="444"/>
        <w:spacing w:after="0" w:line="253"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Mandatory</w:t>
      </w:r>
      <w:r>
        <w:rPr>
          <w:rFonts w:ascii="Times New Roman" w:cs="Times New Roman" w:eastAsia="Times New Roman" w:hAnsi="Times New Roman"/>
          <w:sz w:val="22"/>
          <w:szCs w:val="22"/>
          <w:color w:val="auto"/>
        </w:rPr>
        <w:t>. The Borrower shall, on each date the Revolving Commitments are reduced pursuant to Section 1.10 hereof, prepay the Revolving Loans and, if necessary, prefund the L/C Obligations by the amount, if any, necessary to reduce the sum of the aggregate principal amount of Revolving Loans and L/C Obligations then outstanding to the amount to which the Revolving Commitments have been so reduced.</w:t>
      </w:r>
    </w:p>
    <w:p>
      <w:pPr>
        <w:spacing w:after="0" w:line="179" w:lineRule="exact"/>
        <w:rPr>
          <w:sz w:val="20"/>
          <w:szCs w:val="20"/>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59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sum of the unpaid principal balance of the Revolving Loans and the L/C Obligations then outstanding shall be in excess of the Borrowing Base as then determined and computed (including, at the option of the Administrative Agent, daily computations of the Borrowing Base based upon Market Value of Eligible Commodities and the Net Hedging Value of Hedging Agreements), the Borrower shall immediately and without notice or demand pay over the amount of the excess to the Administrative Agent for the account of the Lenders as and for a mandatory prepayment on such Obligations, with each such prepayment first to be applied to the Revolving Loans until paid in full with any remaining balance to be held by the Administrative Agent in the Collateral Account as security for the Obligations owing with respect to the Letters of Credit.</w:t>
      </w:r>
    </w:p>
    <w:p>
      <w:pPr>
        <w:spacing w:after="0" w:line="17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otherwise directs, prepayments of Loans under this Section 1.6(b) shall be applied first to Borrowings of Base Rate Loans until payment in full thereof with any balance applied to Borrowings of Eurodollar Loans in the order in which their Interest Periods expire. Each prepayment of Loans under this Section 1.6(b) shall be made by the payment of the principal amount to be prepaid and, in the case of any Eurodollar Loans, accrued interest thereon to the date of prepayment together with any amounts due the Lenders under Section 1.9 hereof. Each prefunding of L/C Obligations shall be made in accordance with Section 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55" w:name="page156"/>
    <w:bookmarkEnd w:id="155"/>
    <w:p>
      <w:pPr>
        <w:ind w:left="660" w:firstLine="384"/>
        <w:spacing w:after="0" w:line="271" w:lineRule="auto"/>
        <w:rPr>
          <w:sz w:val="20"/>
          <w:szCs w:val="20"/>
          <w:color w:val="auto"/>
        </w:rPr>
      </w:pPr>
      <w:r>
        <w:rPr>
          <w:rFonts w:ascii="Times New Roman" w:cs="Times New Roman" w:eastAsia="Times New Roman" w:hAnsi="Times New Roman"/>
          <w:sz w:val="22"/>
          <w:szCs w:val="22"/>
          <w:color w:val="auto"/>
        </w:rPr>
        <w:t>(ii)Any amount of Loans paid or prepaid before the Termination Date may, subject to the terms and conditions of this Agreement, be borrowed, repaid and borrowed again.</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g. Default Rate</w:t>
      </w:r>
      <w:r>
        <w:rPr>
          <w:rFonts w:ascii="Times New Roman" w:cs="Times New Roman" w:eastAsia="Times New Roman" w:hAnsi="Times New Roman"/>
          <w:sz w:val="22"/>
          <w:szCs w:val="22"/>
          <w:color w:val="auto"/>
        </w:rPr>
        <w:t>. Notwithstanding anything to the contrary contained herein, while any Event of Default exists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acceleration, the Borrower shall pay interest (after as well as before entry of judgment thereon to the extent permitted by law) on the principal amount of all Loans and Reimbursement Obligations, letter of credit fees and other amounts at a rate per annum equal to:</w:t>
      </w:r>
    </w:p>
    <w:p>
      <w:pPr>
        <w:spacing w:after="0" w:line="175" w:lineRule="exact"/>
        <w:rPr>
          <w:sz w:val="20"/>
          <w:szCs w:val="20"/>
          <w:color w:val="auto"/>
        </w:rPr>
      </w:pPr>
    </w:p>
    <w:p>
      <w:pPr>
        <w:jc w:val="both"/>
        <w:ind w:left="660" w:firstLine="444"/>
        <w:spacing w:after="0" w:line="275" w:lineRule="auto"/>
        <w:rPr>
          <w:sz w:val="20"/>
          <w:szCs w:val="20"/>
          <w:color w:val="auto"/>
        </w:rPr>
      </w:pPr>
      <w:r>
        <w:rPr>
          <w:rFonts w:ascii="Times New Roman" w:cs="Times New Roman" w:eastAsia="Times New Roman" w:hAnsi="Times New Roman"/>
          <w:sz w:val="22"/>
          <w:szCs w:val="22"/>
          <w:color w:val="auto"/>
        </w:rPr>
        <w:t xml:space="preserve">(i)for any Base Rate Loan,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 and</w:t>
      </w:r>
    </w:p>
    <w:p>
      <w:pPr>
        <w:spacing w:after="0" w:line="149" w:lineRule="exact"/>
        <w:rPr>
          <w:sz w:val="20"/>
          <w:szCs w:val="20"/>
          <w:color w:val="auto"/>
        </w:rPr>
      </w:pPr>
    </w:p>
    <w:p>
      <w:pPr>
        <w:jc w:val="both"/>
        <w:ind w:left="660" w:firstLine="384"/>
        <w:spacing w:after="0" w:line="259" w:lineRule="auto"/>
        <w:rPr>
          <w:sz w:val="20"/>
          <w:szCs w:val="20"/>
          <w:color w:val="auto"/>
        </w:rPr>
      </w:pPr>
      <w:r>
        <w:rPr>
          <w:rFonts w:ascii="Times New Roman" w:cs="Times New Roman" w:eastAsia="Times New Roman" w:hAnsi="Times New Roman"/>
          <w:sz w:val="22"/>
          <w:szCs w:val="22"/>
          <w:color w:val="auto"/>
        </w:rPr>
        <w:t xml:space="preserve">(ii)for any Eurodollar Loan,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rate of interest in effect thereon at the time of such default until the end of the Interest Period applicable thereto and, thereafter, at a rate per annum equal to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for Base Rate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w:t>
      </w:r>
    </w:p>
    <w:p>
      <w:pPr>
        <w:spacing w:after="0" w:line="166" w:lineRule="exact"/>
        <w:rPr>
          <w:sz w:val="20"/>
          <w:szCs w:val="20"/>
          <w:color w:val="auto"/>
        </w:rPr>
      </w:pPr>
    </w:p>
    <w:p>
      <w:pPr>
        <w:jc w:val="both"/>
        <w:ind w:left="660" w:firstLine="324"/>
        <w:spacing w:after="0" w:line="275" w:lineRule="auto"/>
        <w:rPr>
          <w:sz w:val="20"/>
          <w:szCs w:val="20"/>
          <w:color w:val="auto"/>
        </w:rPr>
      </w:pPr>
      <w:r>
        <w:rPr>
          <w:rFonts w:ascii="Times New Roman" w:cs="Times New Roman" w:eastAsia="Times New Roman" w:hAnsi="Times New Roman"/>
          <w:sz w:val="22"/>
          <w:szCs w:val="22"/>
          <w:color w:val="auto"/>
        </w:rPr>
        <w:t xml:space="preserve">(iii)for any Reimbursement Obligation,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amounts due under Section 1.1(c) with respect to such Reimbursement Obligation;</w:t>
      </w:r>
    </w:p>
    <w:p>
      <w:pPr>
        <w:spacing w:after="0" w:line="149" w:lineRule="exact"/>
        <w:rPr>
          <w:sz w:val="20"/>
          <w:szCs w:val="20"/>
          <w:color w:val="auto"/>
        </w:rPr>
      </w:pPr>
    </w:p>
    <w:p>
      <w:pPr>
        <w:jc w:val="both"/>
        <w:ind w:left="660" w:firstLine="336"/>
        <w:spacing w:after="0" w:line="275" w:lineRule="auto"/>
        <w:rPr>
          <w:sz w:val="20"/>
          <w:szCs w:val="20"/>
          <w:color w:val="auto"/>
        </w:rPr>
      </w:pPr>
      <w:r>
        <w:rPr>
          <w:rFonts w:ascii="Times New Roman" w:cs="Times New Roman" w:eastAsia="Times New Roman" w:hAnsi="Times New Roman"/>
          <w:sz w:val="22"/>
          <w:szCs w:val="22"/>
          <w:color w:val="auto"/>
        </w:rPr>
        <w:t xml:space="preserve">(iv)for any Letter of Credit,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L/C Participation Fee due under Section 2.1(b) with respect to such Letter of Credit; and</w:t>
      </w:r>
    </w:p>
    <w:p>
      <w:pPr>
        <w:spacing w:after="0" w:line="149" w:lineRule="exact"/>
        <w:rPr>
          <w:sz w:val="20"/>
          <w:szCs w:val="20"/>
          <w:color w:val="auto"/>
        </w:rPr>
      </w:pPr>
    </w:p>
    <w:p>
      <w:pPr>
        <w:jc w:val="both"/>
        <w:ind w:left="660" w:firstLine="396"/>
        <w:spacing w:after="0" w:line="275" w:lineRule="auto"/>
        <w:rPr>
          <w:sz w:val="20"/>
          <w:szCs w:val="20"/>
          <w:color w:val="auto"/>
        </w:rPr>
      </w:pPr>
      <w:r>
        <w:rPr>
          <w:rFonts w:ascii="Times New Roman" w:cs="Times New Roman" w:eastAsia="Times New Roman" w:hAnsi="Times New Roman"/>
          <w:sz w:val="22"/>
          <w:szCs w:val="22"/>
          <w:color w:val="auto"/>
        </w:rPr>
        <w:t xml:space="preserve">(v)for any other amount owing hereunder not covered by clauses (a) through (d) above,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the absence of acceleration, any adjustments pursuant to this Section 1.7 shall be made at the election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Administrative Agent, acting at the request or with the consent of the Required Lenders, with written notice to the Borrower. While any Event of Default exists or after acceleration, interest shall be paid on demand of the Administrative Agent at the request or with the consent of the Required Lenders.</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h. Evidence of Indebtedness</w:t>
      </w:r>
      <w:r>
        <w:rPr>
          <w:rFonts w:ascii="Times New Roman" w:cs="Times New Roman" w:eastAsia="Times New Roman" w:hAnsi="Times New Roman"/>
          <w:sz w:val="22"/>
          <w:szCs w:val="22"/>
          <w:color w:val="auto"/>
        </w:rPr>
        <w:t>. Each Lender shall maintain in accordance with its usual practice an account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accounts evidencing the indebtedness of the Borrower to such Lender resulting from each Loan made by such Lender from time to time, including the amounts of principal and interest payable and paid to such Lender from time to time hereunder.</w:t>
      </w:r>
    </w:p>
    <w:p>
      <w:pPr>
        <w:spacing w:after="0" w:line="170" w:lineRule="exact"/>
        <w:rPr>
          <w:sz w:val="20"/>
          <w:szCs w:val="20"/>
          <w:color w:val="auto"/>
        </w:rPr>
      </w:pPr>
    </w:p>
    <w:p>
      <w:pPr>
        <w:jc w:val="both"/>
        <w:ind w:left="660" w:firstLine="444"/>
        <w:spacing w:after="0" w:line="252" w:lineRule="auto"/>
        <w:rPr>
          <w:sz w:val="20"/>
          <w:szCs w:val="20"/>
          <w:color w:val="auto"/>
        </w:rPr>
      </w:pPr>
      <w:r>
        <w:rPr>
          <w:rFonts w:ascii="Times New Roman" w:cs="Times New Roman" w:eastAsia="Times New Roman" w:hAnsi="Times New Roman"/>
          <w:sz w:val="22"/>
          <w:szCs w:val="22"/>
          <w:color w:val="auto"/>
        </w:rPr>
        <w:t>(i)The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56" w:name="page157"/>
    <w:bookmarkEnd w:id="156"/>
    <w:p>
      <w:pPr>
        <w:jc w:val="both"/>
        <w:ind w:left="660" w:firstLine="384"/>
        <w:spacing w:after="0" w:line="253" w:lineRule="auto"/>
        <w:rPr>
          <w:sz w:val="20"/>
          <w:szCs w:val="20"/>
          <w:color w:val="auto"/>
        </w:rPr>
      </w:pPr>
      <w:r>
        <w:rPr>
          <w:rFonts w:ascii="Times New Roman" w:cs="Times New Roman" w:eastAsia="Times New Roman" w:hAnsi="Times New Roman"/>
          <w:sz w:val="22"/>
          <w:szCs w:val="22"/>
          <w:color w:val="auto"/>
        </w:rPr>
        <w:t xml:space="preserve">(ii)The entries maintained in the accounts maintained pursuant to subsections (a) and (b) above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amounts of the Obligations therein recorded;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79" w:lineRule="exact"/>
        <w:rPr>
          <w:sz w:val="20"/>
          <w:szCs w:val="20"/>
          <w:color w:val="auto"/>
        </w:rPr>
      </w:pPr>
    </w:p>
    <w:p>
      <w:pPr>
        <w:jc w:val="both"/>
        <w:ind w:left="660" w:firstLine="324"/>
        <w:spacing w:after="0" w:line="248" w:lineRule="auto"/>
        <w:rPr>
          <w:sz w:val="20"/>
          <w:szCs w:val="20"/>
          <w:color w:val="auto"/>
        </w:rPr>
      </w:pPr>
      <w:r>
        <w:rPr>
          <w:rFonts w:ascii="Times New Roman" w:cs="Times New Roman" w:eastAsia="Times New Roman" w:hAnsi="Times New Roman"/>
          <w:sz w:val="22"/>
          <w:szCs w:val="22"/>
          <w:color w:val="auto"/>
        </w:rPr>
        <w:t xml:space="preserve">(iii)Any Lender may request that its Loans be evidenced by a promissory note or notes in the form of Exhibit C (each, a </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In such event, the Borrower shall prepare, execute and deliver to such Lender a Note payable to such Lender or its registered assigns in the amount of the relevant Commitment. Thereafter, the Loans evidenced by such Note or Notes and interest thereon shall at all times (including after any assignment pursuant to Section 13.12) be represented by one or more Notes payable to the order of the payee named therein or any assignee pursuant to Section 13.12, except to the extent that any such Lender or assignee subsequently returns any such Note for cancellation and requests that such Loans once again be evidenced as described in subsections (a) and (b) above.</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i. Funding Indemnity</w:t>
      </w:r>
      <w:r>
        <w:rPr>
          <w:rFonts w:ascii="Times New Roman" w:cs="Times New Roman" w:eastAsia="Times New Roman" w:hAnsi="Times New Roman"/>
          <w:sz w:val="22"/>
          <w:szCs w:val="22"/>
          <w:color w:val="auto"/>
        </w:rPr>
        <w:t>. If any Lender shall incur any loss, cost or expense (including, without limitation,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loss, cost or expense incurred by reason of the liquidation or re-employment of deposits or other funds acquired by such Lender to fund or maintain any Eurodollar Loan or the relending or reinvesting of such deposits or amounts paid or prepaid to such Lender) as a result of:</w:t>
      </w:r>
    </w:p>
    <w:p>
      <w:pPr>
        <w:spacing w:after="0" w:line="179" w:lineRule="exact"/>
        <w:rPr>
          <w:sz w:val="20"/>
          <w:szCs w:val="20"/>
          <w:color w:val="auto"/>
        </w:rPr>
      </w:pPr>
    </w:p>
    <w:p>
      <w:pPr>
        <w:jc w:val="both"/>
        <w:ind w:left="660" w:firstLine="444"/>
        <w:spacing w:after="0" w:line="271" w:lineRule="auto"/>
        <w:rPr>
          <w:sz w:val="20"/>
          <w:szCs w:val="20"/>
          <w:color w:val="auto"/>
        </w:rPr>
      </w:pPr>
      <w:r>
        <w:rPr>
          <w:rFonts w:ascii="Times New Roman" w:cs="Times New Roman" w:eastAsia="Times New Roman" w:hAnsi="Times New Roman"/>
          <w:sz w:val="22"/>
          <w:szCs w:val="22"/>
          <w:color w:val="auto"/>
        </w:rPr>
        <w:t>(i)any payment, prepayment or conversion of a Eurodollar Loan on a date other than the last day of its Interest Period,</w:t>
      </w:r>
    </w:p>
    <w:p>
      <w:pPr>
        <w:spacing w:after="0" w:line="158" w:lineRule="exact"/>
        <w:rPr>
          <w:sz w:val="20"/>
          <w:szCs w:val="20"/>
          <w:color w:val="auto"/>
        </w:rPr>
      </w:pPr>
    </w:p>
    <w:p>
      <w:pPr>
        <w:jc w:val="both"/>
        <w:ind w:left="660" w:firstLine="384"/>
        <w:spacing w:after="0" w:line="257" w:lineRule="auto"/>
        <w:rPr>
          <w:sz w:val="20"/>
          <w:szCs w:val="20"/>
          <w:color w:val="auto"/>
        </w:rPr>
      </w:pPr>
      <w:r>
        <w:rPr>
          <w:rFonts w:ascii="Times New Roman" w:cs="Times New Roman" w:eastAsia="Times New Roman" w:hAnsi="Times New Roman"/>
          <w:sz w:val="22"/>
          <w:szCs w:val="22"/>
          <w:color w:val="auto"/>
        </w:rPr>
        <w:t>(ii)any failure (because of a failure to meet the conditions of Section 7 or otherwise) by the Borrower to borrow or continue a Eurodollar Loan, or to convert a Base Rate Loan into a Eurodollar Loan on the date specified in a notice given pursuant to Section 1.4(a) hereof,</w:t>
      </w:r>
    </w:p>
    <w:p>
      <w:pPr>
        <w:spacing w:after="0" w:line="173" w:lineRule="exact"/>
        <w:rPr>
          <w:sz w:val="20"/>
          <w:szCs w:val="20"/>
          <w:color w:val="auto"/>
        </w:rPr>
      </w:pPr>
    </w:p>
    <w:p>
      <w:pPr>
        <w:jc w:val="both"/>
        <w:ind w:left="660" w:right="20" w:firstLine="324"/>
        <w:spacing w:after="0" w:line="271" w:lineRule="auto"/>
        <w:rPr>
          <w:sz w:val="20"/>
          <w:szCs w:val="20"/>
          <w:color w:val="auto"/>
        </w:rPr>
      </w:pPr>
      <w:r>
        <w:rPr>
          <w:rFonts w:ascii="Times New Roman" w:cs="Times New Roman" w:eastAsia="Times New Roman" w:hAnsi="Times New Roman"/>
          <w:sz w:val="22"/>
          <w:szCs w:val="22"/>
          <w:color w:val="auto"/>
        </w:rPr>
        <w:t>(iii)any failure by the Borrower to make any payment of principal on any Eurodollar Loan when due (whether by acceleration or otherwise), or</w:t>
      </w:r>
    </w:p>
    <w:p>
      <w:pPr>
        <w:spacing w:after="0" w:line="158" w:lineRule="exact"/>
        <w:rPr>
          <w:sz w:val="20"/>
          <w:szCs w:val="20"/>
          <w:color w:val="auto"/>
        </w:rPr>
      </w:pPr>
    </w:p>
    <w:p>
      <w:pPr>
        <w:jc w:val="both"/>
        <w:ind w:left="660" w:firstLine="336"/>
        <w:spacing w:after="0" w:line="271" w:lineRule="auto"/>
        <w:rPr>
          <w:sz w:val="20"/>
          <w:szCs w:val="20"/>
          <w:color w:val="auto"/>
        </w:rPr>
      </w:pPr>
      <w:r>
        <w:rPr>
          <w:rFonts w:ascii="Times New Roman" w:cs="Times New Roman" w:eastAsia="Times New Roman" w:hAnsi="Times New Roman"/>
          <w:sz w:val="22"/>
          <w:szCs w:val="22"/>
          <w:color w:val="auto"/>
        </w:rPr>
        <w:t>(iv)any acceleration of the maturity of a Eurodollar Loan as a result of the occurrence of any Event of Default hereunder,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then, upon the demand of such Lender, the Borrower shall pay to such Lender such amount as will reimburse such Lender for such loss, cost or expense. If any Lender makes such a claim for compensation, it shall provide to the Borrower, with a copy to the Administrative Agent, a certificate setting forth the amount of such loss, cost or expense in reasonable detail (including an explanation of the basis for and the computation of such loss, cost or expense) and the amounts shown on such certificate shall be conclusive if reasonably determined.</w:t>
      </w:r>
    </w:p>
    <w:p>
      <w:pPr>
        <w:spacing w:after="0" w:line="1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j. Commitment Terminations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Optional Terminations. </w:t>
      </w:r>
      <w:r>
        <w:rPr>
          <w:rFonts w:ascii="Times New Roman" w:cs="Times New Roman" w:eastAsia="Times New Roman" w:hAnsi="Times New Roman"/>
          <w:sz w:val="22"/>
          <w:szCs w:val="22"/>
          <w:color w:val="auto"/>
        </w:rPr>
        <w:t>The Borrower shall have the right at any time and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upon five (5) Business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57" w:name="page158"/>
    <w:bookmarkEnd w:id="157"/>
    <w:p>
      <w:pPr>
        <w:jc w:val="both"/>
        <w:spacing w:after="0" w:line="261" w:lineRule="auto"/>
        <w:rPr>
          <w:sz w:val="20"/>
          <w:szCs w:val="20"/>
          <w:color w:val="auto"/>
        </w:rPr>
      </w:pPr>
      <w:r>
        <w:rPr>
          <w:rFonts w:ascii="Times New Roman" w:cs="Times New Roman" w:eastAsia="Times New Roman" w:hAnsi="Times New Roman"/>
          <w:sz w:val="21"/>
          <w:szCs w:val="21"/>
          <w:color w:val="auto"/>
        </w:rPr>
        <w:t>to the Administrative Agent (or such shorter period of time agreed to by the Administrative Agent), to terminate the Commitments without premium or penalty and in whole or in part, any partial termination to be (i) in an amount not less than $5,000,000 or such greater amount that is an integral multiple of $1,000,000, and (ii) allocated ratably among the Lenders in proportion to their respective Revolver Percentages, provided that the Revolving Commitments may not be reduced to an amount less than the sum of the aggregate principal amount of Revolving Loans and L/C Obligations then outstanding. Any termination of the Revolving Commitments below the L/C Sublimit then in effect shall reduce the L/C Sublimit by a like amount. The Administrative Agent shall give prompt notice to each applicable Lender of any such termination of the Commitments.</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(i)Any termination of the Commitments pursuant to this Section 1.10 may not be reinstated.</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k. Replacement of Lenders</w:t>
      </w:r>
      <w:r>
        <w:rPr>
          <w:rFonts w:ascii="Times New Roman" w:cs="Times New Roman" w:eastAsia="Times New Roman" w:hAnsi="Times New Roman"/>
          <w:sz w:val="22"/>
          <w:szCs w:val="22"/>
          <w:color w:val="auto"/>
        </w:rPr>
        <w:t>. In the event (a) the Borrower receives a claim from any Lender for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Section 10.3 or 13.1 hereof, (b) the Borrower receives notice from any Lender of any illegality pursuant to Section 10.1 hereof, (c) any Lender is then a Defaulting Lender, or (d) a Lender fails to consent to an amendment or waiver requested under Section 13.13 hereof at a time when the Required Lenders have approved such amendment or waiver (any such Lender referred to in clause (a), (b), (c), or (d) above being hereinafter referred to as an </w:t>
      </w:r>
      <w:r>
        <w:rPr>
          <w:rFonts w:ascii="Times New Roman" w:cs="Times New Roman" w:eastAsia="Times New Roman" w:hAnsi="Times New Roman"/>
          <w:sz w:val="22"/>
          <w:szCs w:val="22"/>
          <w:i w:val="1"/>
          <w:iCs w:val="1"/>
          <w:color w:val="auto"/>
        </w:rPr>
        <w:t>“Affected Lender”</w:t>
      </w:r>
      <w:r>
        <w:rPr>
          <w:rFonts w:ascii="Times New Roman" w:cs="Times New Roman" w:eastAsia="Times New Roman" w:hAnsi="Times New Roman"/>
          <w:sz w:val="22"/>
          <w:szCs w:val="22"/>
          <w:color w:val="auto"/>
        </w:rPr>
        <w:t xml:space="preserve">), the Borrower may, in addition to any other rights the Borrower may have hereunder or under applicable law, require, at its expense, any such Affected Lender to assign, at par, without recourse, all of its interest, rights, and obligations hereunder (including all of its Commitments and the Loans and participation interests in Letters of Credit and other amounts at any time owing to it hereunder and the other Loan Documents) to an Eligible Assignee specified by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5" w:lineRule="exact"/>
        <w:rPr>
          <w:sz w:val="20"/>
          <w:szCs w:val="20"/>
          <w:color w:val="auto"/>
        </w:rPr>
      </w:pPr>
    </w:p>
    <w:p>
      <w:pPr>
        <w:ind w:left="2600" w:hanging="648"/>
        <w:spacing w:after="0"/>
        <w:tabs>
          <w:tab w:leader="none" w:pos="26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the assignment fee (if any) specified in</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13.12;</w:t>
      </w:r>
    </w:p>
    <w:p>
      <w:pPr>
        <w:spacing w:after="0" w:line="195"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Loans and funded participations in L/C Obligations, accrued interest thereon, accrued fees and all other amounts payable to it hereunder and under the other Loan Documents (including any amounts under Section 1.9 as if the Loans owing to it were prepaid rather than assigned) from the assignee (to the extent of such outstanding principal and accrued interest and fees) or the Borrower (in the case of all other amounts);</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claim for compensation under Section 10.3 or payments required to be made pursuant to Section 13.1, such assignment will result in a reduction in such compensation or payments thereafter;</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58" w:name="page159"/>
    <w:bookmarkEnd w:id="158"/>
    <w:p>
      <w:pPr>
        <w:ind w:left="1300" w:firstLine="652"/>
        <w:spacing w:after="0" w:line="271" w:lineRule="auto"/>
        <w:tabs>
          <w:tab w:leader="none" w:pos="25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Lender failing to consent to an amendment, waiver or consent, the applicable assignee shall have consented to the such amendment, waiver or consent.</w:t>
      </w:r>
    </w:p>
    <w:p>
      <w:pPr>
        <w:spacing w:after="0" w:line="158" w:lineRule="exact"/>
        <w:rPr>
          <w:sz w:val="20"/>
          <w:szCs w:val="20"/>
          <w:color w:val="auto"/>
        </w:rPr>
      </w:pPr>
    </w:p>
    <w:p>
      <w:pPr>
        <w:ind w:left="80" w:right="140"/>
        <w:spacing w:after="0" w:line="271"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l. Defaulting Lenders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Defaulting Lender Adjustments. </w:t>
      </w:r>
      <w:r>
        <w:rPr>
          <w:rFonts w:ascii="Times New Roman" w:cs="Times New Roman" w:eastAsia="Times New Roman" w:hAnsi="Times New Roman"/>
          <w:sz w:val="22"/>
          <w:szCs w:val="22"/>
          <w:color w:val="auto"/>
        </w:rPr>
        <w:t>Notwithstanding anything to the contrary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if any Lender becomes a Defaulting Lender, then, until such time as such Lender is no longer a Defaulting Lender, to the extent permitted by applicable law:</w:t>
      </w:r>
    </w:p>
    <w:p>
      <w:pPr>
        <w:spacing w:after="0" w:line="166" w:lineRule="exact"/>
        <w:rPr>
          <w:sz w:val="20"/>
          <w:szCs w:val="20"/>
          <w:color w:val="auto"/>
        </w:rPr>
      </w:pPr>
    </w:p>
    <w:p>
      <w:pPr>
        <w:jc w:val="both"/>
        <w:ind w:left="1300" w:firstLine="652"/>
        <w:spacing w:after="0" w:line="259" w:lineRule="auto"/>
        <w:tabs>
          <w:tab w:leader="none" w:pos="259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Waivers and Amendments</w:t>
      </w:r>
      <w:r>
        <w:rPr>
          <w:rFonts w:ascii="Times New Roman" w:cs="Times New Roman" w:eastAsia="Times New Roman" w:hAnsi="Times New Roman"/>
          <w:sz w:val="22"/>
          <w:szCs w:val="22"/>
          <w:color w:val="auto"/>
        </w:rPr>
        <w:t>. Such Defaulting Lender’s right to approve or disapprove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waiver or consent with respect to this Agreement shall be restricted as set forth in the definition of Required Lenders.</w:t>
      </w:r>
    </w:p>
    <w:p>
      <w:pPr>
        <w:spacing w:after="0" w:line="16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 Waterfall</w:t>
      </w:r>
      <w:r>
        <w:rPr>
          <w:rFonts w:ascii="Times New Roman" w:cs="Times New Roman" w:eastAsia="Times New Roman" w:hAnsi="Times New Roman"/>
          <w:sz w:val="21"/>
          <w:szCs w:val="21"/>
          <w:color w:val="auto"/>
        </w:rPr>
        <w:t>. Any payment of principal, interest, fees or other amounts received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Administrative Agent for the account of such Defaulting Lender (whether voluntary or mandatory, at maturity, pursuant to Section 9 or otherwise) or received by the Administrative Agent from a Defaulting Lender pursuant to Section 13.7 hereto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L/C Issuer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such Defaulting Lender in accordance with Section 1.13;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Section 1.13;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or the L/C Issuer as a result of any judgment of a court of competent jurisdiction obtained by any Lender or the L/C Issuer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such Defaulting Lender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59" w:name="page160"/>
    <w:bookmarkEnd w:id="159"/>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 xml:space="preserve">otherwise directed by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L/C Obligations in respect of which such Defaulting Lender has not fully funded its appropriate share, and (y) such Loans were made or the related Letters of Credit were issued at a time when the conditions set forth in Section 7.1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are held by the Lenders pro rata in accordance with their Revolver Percentages of the Commitments without giving effect to Section 1.12(a)(iv) below. Any payments, prepayments or other amounts paid or payable to a Defaulting Lender that are applied (or held) to pay amounts owed by a Defaulting Lender or to post Cash Collateral pursuant to this Section 1.12(a)(ii) shall be deemed paid to and redirected by such Defaulting Lender, and each Lender irrevocably consents hereto.</w:t>
      </w:r>
    </w:p>
    <w:p>
      <w:pPr>
        <w:spacing w:after="0" w:line="185" w:lineRule="exact"/>
        <w:rPr>
          <w:sz w:val="20"/>
          <w:szCs w:val="20"/>
          <w:color w:val="auto"/>
        </w:rPr>
      </w:pPr>
    </w:p>
    <w:p>
      <w:pPr>
        <w:ind w:left="2600" w:hanging="648"/>
        <w:spacing w:after="0"/>
        <w:tabs>
          <w:tab w:leader="none" w:pos="26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Fees.</w:t>
      </w:r>
    </w:p>
    <w:p>
      <w:pPr>
        <w:spacing w:after="0" w:line="223"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325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72"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325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L/C Participation Fees for any period during which that Lender is a Defaulting Lender only to the extent allocable to its Percentage of the stated amount of Letters of Credit for which it has provided Cash Collateral pursuant to Section 1.13.</w:t>
      </w:r>
    </w:p>
    <w:p>
      <w:pPr>
        <w:spacing w:after="0" w:line="172" w:lineRule="exact"/>
        <w:rPr>
          <w:rFonts w:ascii="Times New Roman" w:cs="Times New Roman" w:eastAsia="Times New Roman" w:hAnsi="Times New Roman"/>
          <w:sz w:val="22"/>
          <w:szCs w:val="22"/>
          <w:color w:val="auto"/>
        </w:rPr>
      </w:pPr>
    </w:p>
    <w:p>
      <w:pPr>
        <w:jc w:val="both"/>
        <w:ind w:left="1960" w:firstLine="640"/>
        <w:spacing w:after="0" w:line="248" w:lineRule="auto"/>
        <w:tabs>
          <w:tab w:leader="none" w:pos="325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L/C Participation Fee not required to be paid to any Defaulting Lender pursuant to clause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as applicable, the amount of any such fee otherwise payable to such Defaulting Lender to the extent allocable to such L/C Issuer’s Fronting Exposure to such Defaulting Lender, and (z) not be required to pay the remaining amount of any such fee.</w:t>
      </w:r>
    </w:p>
    <w:p>
      <w:pPr>
        <w:spacing w:after="0" w:line="177" w:lineRule="exact"/>
        <w:rPr>
          <w:rFonts w:ascii="Times New Roman" w:cs="Times New Roman" w:eastAsia="Times New Roman" w:hAnsi="Times New Roman"/>
          <w:sz w:val="22"/>
          <w:szCs w:val="22"/>
          <w:color w:val="auto"/>
        </w:rPr>
      </w:pPr>
    </w:p>
    <w:p>
      <w:pPr>
        <w:jc w:val="both"/>
        <w:ind w:left="1300" w:firstLine="652"/>
        <w:spacing w:after="0" w:line="259" w:lineRule="auto"/>
        <w:tabs>
          <w:tab w:leader="none" w:pos="25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Reallocation of Participations to Reduce Fronting Exposure</w:t>
      </w:r>
      <w:r>
        <w:rPr>
          <w:rFonts w:ascii="Times New Roman" w:cs="Times New Roman" w:eastAsia="Times New Roman" w:hAnsi="Times New Roman"/>
          <w:sz w:val="22"/>
          <w:szCs w:val="22"/>
          <w:color w:val="auto"/>
        </w:rPr>
        <w:t>. All or any part of such Defaulting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participation in L/C Obligations shall be reallocated among the Non-Defaulting Lenders in accordance with their respective Revolver Percentages (calculated without regard to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60" w:name="page161"/>
    <w:bookmarkEnd w:id="160"/>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Lender’s Commitments) but only to the extent that (x) the conditions set forth in Section 7.1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Loans and interests in L/C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sz w:val="20"/>
          <w:szCs w:val="20"/>
          <w:color w:val="auto"/>
        </w:rPr>
      </w:pPr>
    </w:p>
    <w:p>
      <w:pPr>
        <w:jc w:val="both"/>
        <w:ind w:left="1300" w:firstLine="652"/>
        <w:spacing w:after="0" w:line="277" w:lineRule="auto"/>
        <w:tabs>
          <w:tab w:leader="none" w:pos="259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Collateral</w:t>
      </w:r>
      <w:r>
        <w:rPr>
          <w:rFonts w:ascii="Times New Roman" w:cs="Times New Roman" w:eastAsia="Times New Roman" w:hAnsi="Times New Roman"/>
          <w:sz w:val="21"/>
          <w:szCs w:val="21"/>
          <w:color w:val="auto"/>
        </w:rPr>
        <w:t>. If the reallocation described in clause (iv) above cannot, or can only partially,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effected, the Borrower shall, without prejudice to any right or remedy available to them hereunder or under law, Cash Collateralize the L/C Issuer’s Fronting Exposure in accordance with the procedures set forth in Section 1.13.</w:t>
      </w:r>
    </w:p>
    <w:p>
      <w:pPr>
        <w:spacing w:after="0" w:line="149" w:lineRule="exact"/>
        <w:rPr>
          <w:sz w:val="20"/>
          <w:szCs w:val="20"/>
          <w:color w:val="auto"/>
        </w:rPr>
      </w:pPr>
    </w:p>
    <w:p>
      <w:pPr>
        <w:jc w:val="both"/>
        <w:ind w:left="660" w:firstLine="444"/>
        <w:spacing w:after="0" w:line="24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Defaulting Lender Cure</w:t>
      </w:r>
      <w:r>
        <w:rPr>
          <w:rFonts w:ascii="Times New Roman" w:cs="Times New Roman" w:eastAsia="Times New Roman" w:hAnsi="Times New Roman"/>
          <w:sz w:val="22"/>
          <w:szCs w:val="22"/>
          <w:color w:val="auto"/>
        </w:rPr>
        <w:t xml:space="preserve">. If the Borrower, the Administrative Agent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their respective Revolver Percentages (without giving effect to Section 1.12(a)(iv)), whereupon such Lender will cease to be a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jc w:val="both"/>
        <w:ind w:left="660" w:firstLine="384"/>
        <w:spacing w:after="0" w:line="25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Letters of Credit</w:t>
      </w:r>
      <w:r>
        <w:rPr>
          <w:rFonts w:ascii="Times New Roman" w:cs="Times New Roman" w:eastAsia="Times New Roman" w:hAnsi="Times New Roman"/>
          <w:sz w:val="22"/>
          <w:szCs w:val="22"/>
          <w:color w:val="auto"/>
        </w:rPr>
        <w:t>. So long as any Lender is a Defaulting Lender, no L/C Issuer shall be required to issue, extend, renew or increase any Letter of Credit unless it is satisfied that it will have no Fronting Exposure after giving effect thereto.</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m. Cash Collateral for Fronting Exposure</w:t>
      </w:r>
      <w:r>
        <w:rPr>
          <w:rFonts w:ascii="Times New Roman" w:cs="Times New Roman" w:eastAsia="Times New Roman" w:hAnsi="Times New Roman"/>
          <w:sz w:val="22"/>
          <w:szCs w:val="22"/>
          <w:color w:val="auto"/>
        </w:rPr>
        <w:t>. At any time that there shall exist a Defaulting Lender, within one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following the written request of the Administrative Agent or any L/C Issuer (with a copy to the Administrative Agent) the Borrower shall Cash Collateralize the L/C Issuers’ Fronting Exposure with respect to such Defaulting Lender (determined after giving effect to Section 1.12(a)(iv) and any Cash Collateral provided by such Defaulting Lender) in an amount not less than the Minimum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1" w:name="page162"/>
    <w:bookmarkEnd w:id="161"/>
    <w:p>
      <w:pPr>
        <w:jc w:val="both"/>
        <w:ind w:left="660" w:firstLine="444"/>
        <w:spacing w:after="0" w:line="247"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Grant of Security Interest</w:t>
      </w:r>
      <w:r>
        <w:rPr>
          <w:rFonts w:ascii="Times New Roman" w:cs="Times New Roman" w:eastAsia="Times New Roman" w:hAnsi="Times New Roman"/>
          <w:sz w:val="22"/>
          <w:szCs w:val="22"/>
          <w:color w:val="auto"/>
        </w:rPr>
        <w:t>. The Borrower, and to the extent provided by any Defaulting Lender, such Defaulting Lender, hereby grants to the Administrative Agent, for the benefit of the L/C Issuers, and agree to maintain, a first priority security interest in all such Cash Collateral as security for such Defaulting Lender’s obligation to fund participations in respect of L/C Obligations, to be applied pursuant to clause (b) below.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shall,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1" w:lineRule="exact"/>
        <w:rPr>
          <w:sz w:val="20"/>
          <w:szCs w:val="20"/>
          <w:color w:val="auto"/>
        </w:rPr>
      </w:pPr>
    </w:p>
    <w:p>
      <w:pPr>
        <w:jc w:val="both"/>
        <w:ind w:left="660" w:firstLine="384"/>
        <w:spacing w:after="0" w:line="251"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Application</w:t>
      </w:r>
      <w:r>
        <w:rPr>
          <w:rFonts w:ascii="Times New Roman" w:cs="Times New Roman" w:eastAsia="Times New Roman" w:hAnsi="Times New Roman"/>
          <w:sz w:val="22"/>
          <w:szCs w:val="22"/>
          <w:color w:val="auto"/>
        </w:rPr>
        <w:t>. Notwithstanding anything to the contrary contained in this Agreement, Cash Collateral provided under this Section 1.13 or Section 1.12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6" w:lineRule="exact"/>
        <w:rPr>
          <w:sz w:val="20"/>
          <w:szCs w:val="20"/>
          <w:color w:val="auto"/>
        </w:rPr>
      </w:pPr>
    </w:p>
    <w:p>
      <w:pPr>
        <w:jc w:val="both"/>
        <w:ind w:left="660" w:firstLine="324"/>
        <w:spacing w:after="0" w:line="247"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any L/C Issuer’s Fronting Exposure shall no longer be required to be held as Cash Collateral pursuant to this Section 1.13(c) following (A) the elimination of the applicable Fronting Exposure (including by the termination of Defaulting Lender status of the applicable Lender), or (B) the determination by the Administrative Agent and each L/C Issuer that there exists excess Cash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Section 1.13, the Person providing Cash Collateral and each L/C Issuer may agree that Cash Collateral shall be held to support future anticipated Fronting Exposure or other obligations;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to the extent that such Cash Collateral was provided by the Borrower or any other Loan Party, such Cash Collateral shall remain subject to the security interest granted pursuant to the Loan Documents.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n. Increase in Commitments</w:t>
      </w:r>
      <w:r>
        <w:rPr>
          <w:rFonts w:ascii="Times New Roman" w:cs="Times New Roman" w:eastAsia="Times New Roman" w:hAnsi="Times New Roman"/>
          <w:sz w:val="22"/>
          <w:szCs w:val="22"/>
          <w:color w:val="auto"/>
        </w:rPr>
        <w:t>. The Borrower may, on any Business Day prior to the Termination Date,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written consent of the Administrative Agent, increase the aggregate amount of the Commitments by delivering an Increase Request substantially in the form attached hereto as Exhibit H (or in such other form acceptable to the Administrative Agent) to the Administrative Agent at least ten (10) Business Days prior to the desired effective date of such increase (the </w:t>
      </w:r>
      <w:r>
        <w:rPr>
          <w:rFonts w:ascii="Times New Roman" w:cs="Times New Roman" w:eastAsia="Times New Roman" w:hAnsi="Times New Roman"/>
          <w:sz w:val="22"/>
          <w:szCs w:val="22"/>
          <w:i w:val="1"/>
          <w:iCs w:val="1"/>
          <w:color w:val="auto"/>
        </w:rPr>
        <w:t>“Revolver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Increase”</w:t>
      </w:r>
      <w:r>
        <w:rPr>
          <w:rFonts w:ascii="Times New Roman" w:cs="Times New Roman" w:eastAsia="Times New Roman" w:hAnsi="Times New Roman"/>
          <w:sz w:val="22"/>
          <w:szCs w:val="22"/>
          <w:color w:val="auto"/>
        </w:rPr>
        <w:t>) identifying an additional Lender (or additional Commitments for an existing Lender) and the amount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Commitments (or additional amount of its Commitments);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w:t>
      </w:r>
    </w:p>
    <w:p>
      <w:pPr>
        <w:spacing w:after="0" w:line="184" w:lineRule="exact"/>
        <w:rPr>
          <w:sz w:val="20"/>
          <w:szCs w:val="20"/>
          <w:color w:val="auto"/>
        </w:rPr>
      </w:pPr>
    </w:p>
    <w:p>
      <w:pPr>
        <w:ind w:left="660" w:firstLine="444"/>
        <w:spacing w:after="0" w:line="271" w:lineRule="auto"/>
        <w:rPr>
          <w:sz w:val="20"/>
          <w:szCs w:val="20"/>
          <w:color w:val="auto"/>
        </w:rPr>
      </w:pPr>
      <w:r>
        <w:rPr>
          <w:rFonts w:ascii="Times New Roman" w:cs="Times New Roman" w:eastAsia="Times New Roman" w:hAnsi="Times New Roman"/>
          <w:sz w:val="22"/>
          <w:szCs w:val="22"/>
          <w:color w:val="auto"/>
        </w:rPr>
        <w:t>(i)the aggregate amount of the Commitments after giving effect to each Revolver Increase shall not exceed $325,000,000 in the aggregate, and any such Revolver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62" w:name="page163"/>
    <w:bookmarkEnd w:id="162"/>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shall be in an amount not less than $10,000,000 with integral multiples of $1,000,000 in excess thereof (or such lesser amount then agreed to by the Administrative Agent);</w:t>
      </w:r>
    </w:p>
    <w:p>
      <w:pPr>
        <w:spacing w:after="0" w:line="158" w:lineRule="exact"/>
        <w:rPr>
          <w:sz w:val="20"/>
          <w:szCs w:val="20"/>
          <w:color w:val="auto"/>
        </w:rPr>
      </w:pPr>
    </w:p>
    <w:p>
      <w:pPr>
        <w:jc w:val="both"/>
        <w:ind w:left="660" w:right="20" w:firstLine="384"/>
        <w:spacing w:after="0" w:line="271" w:lineRule="auto"/>
        <w:rPr>
          <w:sz w:val="20"/>
          <w:szCs w:val="20"/>
          <w:color w:val="auto"/>
        </w:rPr>
      </w:pPr>
      <w:r>
        <w:rPr>
          <w:rFonts w:ascii="Times New Roman" w:cs="Times New Roman" w:eastAsia="Times New Roman" w:hAnsi="Times New Roman"/>
          <w:sz w:val="22"/>
          <w:szCs w:val="22"/>
          <w:color w:val="auto"/>
        </w:rPr>
        <w:t>(ii)no Default or Event of Default shall have occurred and be continuing at the time of the request or the effective date of the Revolver Increase; and</w:t>
      </w:r>
    </w:p>
    <w:p>
      <w:pPr>
        <w:spacing w:after="0" w:line="158" w:lineRule="exact"/>
        <w:rPr>
          <w:sz w:val="20"/>
          <w:szCs w:val="20"/>
          <w:color w:val="auto"/>
        </w:rPr>
      </w:pPr>
    </w:p>
    <w:p>
      <w:pPr>
        <w:jc w:val="both"/>
        <w:ind w:left="660" w:firstLine="324"/>
        <w:spacing w:after="0" w:line="257" w:lineRule="auto"/>
        <w:rPr>
          <w:sz w:val="20"/>
          <w:szCs w:val="20"/>
          <w:color w:val="auto"/>
        </w:rPr>
      </w:pPr>
      <w:r>
        <w:rPr>
          <w:rFonts w:ascii="Times New Roman" w:cs="Times New Roman" w:eastAsia="Times New Roman" w:hAnsi="Times New Roman"/>
          <w:sz w:val="22"/>
          <w:szCs w:val="22"/>
          <w:color w:val="auto"/>
        </w:rPr>
        <w:t>(iii)each of the representations and warranties set forth in Section 6 and in the other Loan Documents shall be and remain true and correct on the effective date of such Revolver Increase, except to the extent the same expressly relate to an earlier date, in which case they shall be true and correct as of such earlier date.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The effective date of the Revolver Increase shall be agreed upon by the Borrower and the Administrative Agent. Upon the effectiveness thereof, Schedule 1 shall be deemed amended to reflect the Revolver Increase and each new Lender (and/or, if applicable, each existing Lender providing any portion of such Revolver Increase) shall advance Revolving Loans in an amount sufficient such that after giving effect to its Revolving Loans each Lender shall have outstanding its Revolver Percentage of all Loans outstanding under the applicable Commitment. It shall be a condition to such effectiveness that (A) if any Eurodollar Loans are outstanding on the date of such effectiveness, such Eurodollar Loans shall be deemed to be prepaid on such date and the Borrower shall pay any amounts owing to the Lenders pursuant to Section 1.9 and (B) the Borrower shall not have terminated any portion of any Commitment pursuant to Section 1.10. The Borrower agrees to pay the expenses of the Administrative Agent (including reasonable attorney’s fees) relating to any Revolver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w:t>
      </w:r>
    </w:p>
    <w:p>
      <w:pPr>
        <w:spacing w:after="0" w:line="17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o.</w:t>
      </w:r>
      <w:r>
        <w:rPr>
          <w:sz w:val="20"/>
          <w:szCs w:val="20"/>
          <w:color w:val="auto"/>
        </w:rPr>
        <w:tab/>
      </w:r>
      <w:r>
        <w:rPr>
          <w:rFonts w:ascii="Times New Roman" w:cs="Times New Roman" w:eastAsia="Times New Roman" w:hAnsi="Times New Roman"/>
          <w:sz w:val="21"/>
          <w:szCs w:val="21"/>
          <w:i w:val="1"/>
          <w:iCs w:val="1"/>
          <w:color w:val="auto"/>
        </w:rPr>
        <w:t>Alternate Rate of Interest; Effect of Benchmark Transition Event.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i w:val="1"/>
          <w:iCs w:val="1"/>
          <w:color w:val="auto"/>
        </w:rPr>
        <w:t>Alternate Rate of Interest</w:t>
      </w:r>
      <w:r>
        <w:rPr>
          <w:rFonts w:ascii="Times New Roman" w:cs="Times New Roman" w:eastAsia="Times New Roman" w:hAnsi="Times New Roman"/>
          <w:sz w:val="21"/>
          <w:szCs w:val="21"/>
          <w:color w:val="auto"/>
        </w:rPr>
        <w:t>. If prior to the commencement of any Interest Period for a Borrowing of Eurodollar</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Loans:</w:t>
      </w:r>
    </w:p>
    <w:p>
      <w:pPr>
        <w:spacing w:after="0" w:line="196" w:lineRule="exact"/>
        <w:rPr>
          <w:sz w:val="20"/>
          <w:szCs w:val="20"/>
          <w:color w:val="auto"/>
        </w:rPr>
      </w:pPr>
    </w:p>
    <w:p>
      <w:pPr>
        <w:jc w:val="both"/>
        <w:ind w:left="1300" w:firstLine="4"/>
        <w:spacing w:after="0" w:line="257" w:lineRule="auto"/>
        <w:tabs>
          <w:tab w:leader="none" w:pos="181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Adjusted LIBOR applicable for such Interest Period; or</w:t>
      </w:r>
    </w:p>
    <w:p>
      <w:pPr>
        <w:spacing w:after="0" w:line="172" w:lineRule="exact"/>
        <w:rPr>
          <w:rFonts w:ascii="Times New Roman" w:cs="Times New Roman" w:eastAsia="Times New Roman" w:hAnsi="Times New Roman"/>
          <w:sz w:val="22"/>
          <w:szCs w:val="22"/>
          <w:color w:val="auto"/>
        </w:rPr>
      </w:pPr>
    </w:p>
    <w:p>
      <w:pPr>
        <w:jc w:val="both"/>
        <w:ind w:left="1300" w:firstLine="4"/>
        <w:spacing w:after="0" w:line="257" w:lineRule="auto"/>
        <w:tabs>
          <w:tab w:leader="none" w:pos="183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is advised by Lenders comprising the Required Lenders that the LIBOR Index Rate for such Interest Period will not adequately and fairly reflect the cost to such Lenders of making or maintaining their Loans included in such Borrowing for such Interest Period;</w:t>
      </w:r>
    </w:p>
    <w:p>
      <w:pPr>
        <w:spacing w:after="0" w:line="173"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then the Administrative Agent shall give notice thereof to the Borrower and the Lenders as promptly as practicable thereafter and, until the Administrative Agent notifies the Borrower and the Lenders that the circumstances giving rise to such notice no longer exist, (A) a notice from the Borrower received pursuant to Section 1.4(a) that requests the conversion of any Revolving Loan to, or continuation of any Revolving Loan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3" w:name="page164"/>
    <w:bookmarkEnd w:id="163"/>
    <w:p>
      <w:pPr>
        <w:ind w:left="660"/>
        <w:spacing w:after="0" w:line="271" w:lineRule="auto"/>
        <w:rPr>
          <w:sz w:val="20"/>
          <w:szCs w:val="20"/>
          <w:color w:val="auto"/>
        </w:rPr>
      </w:pPr>
      <w:r>
        <w:rPr>
          <w:rFonts w:ascii="Times New Roman" w:cs="Times New Roman" w:eastAsia="Times New Roman" w:hAnsi="Times New Roman"/>
          <w:sz w:val="22"/>
          <w:szCs w:val="22"/>
          <w:color w:val="auto"/>
        </w:rPr>
        <w:t>Eurodollar Loan shall be ineffective, and (B) if any notice from the Borrower received pursuant to Section 1.4(a) requests a Eurodollar Loan, such Borrowing shall be made as a Base Rate Loan.</w:t>
      </w:r>
    </w:p>
    <w:p>
      <w:pPr>
        <w:spacing w:after="0" w:line="154" w:lineRule="exact"/>
        <w:rPr>
          <w:sz w:val="20"/>
          <w:szCs w:val="20"/>
          <w:color w:val="auto"/>
        </w:rPr>
      </w:pPr>
    </w:p>
    <w:p>
      <w:pPr>
        <w:ind w:left="1780" w:hanging="476"/>
        <w:spacing w:after="0"/>
        <w:tabs>
          <w:tab w:leader="none" w:pos="17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Benchmark Transition Event.</w:t>
      </w:r>
    </w:p>
    <w:p>
      <w:pPr>
        <w:spacing w:after="0" w:line="220" w:lineRule="exact"/>
        <w:rPr>
          <w:sz w:val="20"/>
          <w:szCs w:val="20"/>
          <w:color w:val="auto"/>
        </w:rPr>
      </w:pPr>
    </w:p>
    <w:p>
      <w:pPr>
        <w:jc w:val="both"/>
        <w:ind w:left="1300" w:firstLine="4"/>
        <w:spacing w:after="0" w:line="246" w:lineRule="auto"/>
        <w:tabs>
          <w:tab w:leader="none" w:pos="177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Benchmark Replacement. </w:t>
      </w:r>
      <w:r>
        <w:rPr>
          <w:rFonts w:ascii="Times New Roman" w:cs="Times New Roman" w:eastAsia="Times New Roman" w:hAnsi="Times New Roman"/>
          <w:sz w:val="22"/>
          <w:szCs w:val="22"/>
          <w:color w:val="auto"/>
        </w:rPr>
        <w:t>Notwithstanding anything to the contrary herein or in any other Loan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the occurrence of a Benchmark Transition Event or an Early Opt-in Election, as applicable, the Administrative Agent and the Borrower may amend this Agreement to replace the LIBOR Index Rate with a Benchmark Replacement. Any such amendment with respect to a Benchmark Transition Event will become effective at 5:00 p.m., New York City time on the fifth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the Lenders comprising the Required Lenders have delivered to the Administrative Agent written notice that such Required Lenders accept such amendment. No replacement of the LIBOR Index Rate with a Benchmark Replacement pursuant to this Section 1.15(b) will occur prior to the applicable Benchmark Transition Start Date.</w:t>
      </w:r>
    </w:p>
    <w:p>
      <w:pPr>
        <w:spacing w:after="0" w:line="185" w:lineRule="exact"/>
        <w:rPr>
          <w:rFonts w:ascii="Times New Roman" w:cs="Times New Roman" w:eastAsia="Times New Roman" w:hAnsi="Times New Roman"/>
          <w:sz w:val="22"/>
          <w:szCs w:val="22"/>
          <w:color w:val="auto"/>
        </w:rPr>
      </w:pPr>
    </w:p>
    <w:p>
      <w:pPr>
        <w:jc w:val="both"/>
        <w:ind w:left="1300" w:firstLine="4"/>
        <w:spacing w:after="0" w:line="251" w:lineRule="auto"/>
        <w:tabs>
          <w:tab w:leader="none" w:pos="19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 implementation of a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5" w:lineRule="exact"/>
        <w:rPr>
          <w:rFonts w:ascii="Times New Roman" w:cs="Times New Roman" w:eastAsia="Times New Roman" w:hAnsi="Times New Roman"/>
          <w:sz w:val="22"/>
          <w:szCs w:val="22"/>
          <w:color w:val="auto"/>
        </w:rPr>
      </w:pPr>
    </w:p>
    <w:p>
      <w:pPr>
        <w:jc w:val="both"/>
        <w:ind w:left="1300" w:firstLine="4"/>
        <w:spacing w:after="0" w:line="246" w:lineRule="auto"/>
        <w:tabs>
          <w:tab w:leader="none" w:pos="18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the Lenders of (A) any occurrence of a Benchmark Transition Event or an Early Opt-in Election, as applicable, and its related Benchmark Replacement Date and Benchmark Transition Start Date, (B) the implementation of any Benchmark Replacement, (C) the effectiveness of any Benchmark Replacement Conforming Changes and (D) the commencement or conclusion of any Benchmark Unavailability Period. Any determination, decision or election that may be made by the Administrative Agent or Lenders pursuant to this Section 1.15(b)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4" w:name="page165"/>
    <w:bookmarkEnd w:id="164"/>
    <w:p>
      <w:pPr>
        <w:jc w:val="both"/>
        <w:ind w:left="1300" w:firstLine="4"/>
        <w:spacing w:after="0" w:line="249" w:lineRule="auto"/>
        <w:tabs>
          <w:tab w:leader="none" w:pos="199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request for a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the Base Rate based upon the LIBOR Index Rate will not be used in any determination of the Base Rate.</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FEES.</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a. Fees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Commitment Fees</w:t>
      </w:r>
      <w:r>
        <w:rPr>
          <w:rFonts w:ascii="Times New Roman" w:cs="Times New Roman" w:eastAsia="Times New Roman" w:hAnsi="Times New Roman"/>
          <w:sz w:val="22"/>
          <w:szCs w:val="22"/>
          <w:color w:val="auto"/>
        </w:rPr>
        <w:t>. The Borrower shall pay to the Administrative Agent for the ratable account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in accordance with their Revolver Percentages a commitment fee at the rate per annum equal to the Applicable Margin (computed on the basis of a year of 360 days and the actual number of days elapsed) on the average daily Unused Commitments. Such commitment fees shall be payable quarterly in arrears on the last day of each March, June, September, and December in each year (commencing on the first such date occurring after the date hereof) and on the Termination Date, unless the applicable Commitments are terminated in whole on an earlier date, in which event the commitment fee for the period to the date of such termination in whole shall be paid on the date of such termination.</w:t>
      </w:r>
    </w:p>
    <w:p>
      <w:pPr>
        <w:spacing w:after="0" w:line="182" w:lineRule="exact"/>
        <w:rPr>
          <w:sz w:val="20"/>
          <w:szCs w:val="20"/>
          <w:color w:val="auto"/>
        </w:rPr>
      </w:pPr>
    </w:p>
    <w:p>
      <w:pPr>
        <w:jc w:val="both"/>
        <w:ind w:left="660" w:firstLine="444"/>
        <w:spacing w:after="0" w:line="24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xml:space="preserve"> On the date of issuance or extension, or increase in the amount, of any Letter of Credit pursuant to Section 1.1(c), the Borrower shall pay to the L/C Issuer for its own account a fronting fee equal to 0.25% of the face amount of (or of the increase in the face amount of) such Letter of Credit. Quarterly in arrears, on the last day of each March, June, September, and December, commencing on the first such date occurring after the Closing Date, the Borrower shall pay to the Administrative Agent, for the ratable benefit of the Lenders in accordance with their Revolver Percentages, a letter of credit fee (the </w:t>
      </w:r>
      <w:r>
        <w:rPr>
          <w:rFonts w:ascii="Times New Roman" w:cs="Times New Roman" w:eastAsia="Times New Roman" w:hAnsi="Times New Roman"/>
          <w:sz w:val="22"/>
          <w:szCs w:val="22"/>
          <w:i w:val="1"/>
          <w:iCs w:val="1"/>
          <w:color w:val="auto"/>
        </w:rPr>
        <w:t>“L/C Participation Fee”</w:t>
      </w:r>
      <w:r>
        <w:rPr>
          <w:rFonts w:ascii="Times New Roman" w:cs="Times New Roman" w:eastAsia="Times New Roman" w:hAnsi="Times New Roman"/>
          <w:sz w:val="22"/>
          <w:szCs w:val="22"/>
          <w:color w:val="auto"/>
        </w:rPr>
        <w:t>) at a rate per annum equal to 2.25% (computed on the basis of a year of 360 days and the actual number of days elapsed) of the daily average face amount of Letters of Credit outstanding during such quarter. In addition, the Borrower shall pay to the L/C Issuer for its own account the L/C Issuer’s standard issuance, drawing, negotiation, amendment, assignment, and other administrative fees for each Letter of Credit as established by the L/C Issuer from time to time.</w:t>
      </w:r>
    </w:p>
    <w:p>
      <w:pPr>
        <w:spacing w:after="0" w:line="188" w:lineRule="exact"/>
        <w:rPr>
          <w:sz w:val="20"/>
          <w:szCs w:val="20"/>
          <w:color w:val="auto"/>
        </w:rPr>
      </w:pPr>
    </w:p>
    <w:p>
      <w:pPr>
        <w:jc w:val="both"/>
        <w:ind w:left="660" w:right="20" w:firstLine="384"/>
        <w:spacing w:after="0" w:line="27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Administrative Agent Fees</w:t>
      </w:r>
      <w:r>
        <w:rPr>
          <w:rFonts w:ascii="Times New Roman" w:cs="Times New Roman" w:eastAsia="Times New Roman" w:hAnsi="Times New Roman"/>
          <w:sz w:val="22"/>
          <w:szCs w:val="22"/>
          <w:color w:val="auto"/>
        </w:rPr>
        <w:t>. The Borrower shall pay to the Administrative Agent, for its own use and benefit, the fees agreed to in writing from time to time between the Administrative Agent and the Borrower.</w:t>
      </w:r>
    </w:p>
    <w:p>
      <w:pPr>
        <w:spacing w:after="0" w:line="149" w:lineRule="exact"/>
        <w:rPr>
          <w:sz w:val="20"/>
          <w:szCs w:val="20"/>
          <w:color w:val="auto"/>
        </w:rPr>
      </w:pPr>
    </w:p>
    <w:p>
      <w:pPr>
        <w:jc w:val="both"/>
        <w:ind w:left="660" w:firstLine="324"/>
        <w:spacing w:after="0" w:line="251"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Audit Fees.</w:t>
      </w:r>
      <w:r>
        <w:rPr>
          <w:rFonts w:ascii="Times New Roman" w:cs="Times New Roman" w:eastAsia="Times New Roman" w:hAnsi="Times New Roman"/>
          <w:sz w:val="22"/>
          <w:szCs w:val="22"/>
          <w:color w:val="auto"/>
        </w:rPr>
        <w:t xml:space="preserve"> The Borrower shall pay to the Administrative Agent for its own use and benefit charges for audits of the Collateral performed by the Administrative Agent or its agents or representatives in such amounts as the Administrative Agent may from time to time request (the Administrative Agent acknowledging and agreeing that such charges shall be computed in the same manner as it at the time customarily uses for the assessment of charges for similar collateral audits);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65" w:name="page166"/>
    <w:bookmarkEnd w:id="165"/>
    <w:p>
      <w:pPr>
        <w:ind w:left="660"/>
        <w:spacing w:after="0" w:line="271" w:lineRule="auto"/>
        <w:rPr>
          <w:sz w:val="20"/>
          <w:szCs w:val="20"/>
          <w:color w:val="auto"/>
        </w:rPr>
      </w:pPr>
      <w:r>
        <w:rPr>
          <w:rFonts w:ascii="Times New Roman" w:cs="Times New Roman" w:eastAsia="Times New Roman" w:hAnsi="Times New Roman"/>
          <w:sz w:val="22"/>
          <w:szCs w:val="22"/>
          <w:color w:val="auto"/>
        </w:rPr>
        <w:t>absence of any Default and Event of Default, the Borrower shall not be required to pay the Administrative Agent for more than two (2) such audits per calendar year.</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PLACE AND APPLICATION OF PAYMENTS.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a. Place of Payments</w:t>
      </w:r>
      <w:r>
        <w:rPr>
          <w:rFonts w:ascii="Times New Roman" w:cs="Times New Roman" w:eastAsia="Times New Roman" w:hAnsi="Times New Roman"/>
          <w:sz w:val="22"/>
          <w:szCs w:val="22"/>
          <w:color w:val="auto"/>
        </w:rPr>
        <w:t>. All payments of principal of and interest on the Loans and the Reimbursement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and all other Obligations payable by the Borrower under this Agreement and the other Loan Documents, shall be made by the Borrower to the Administrative Agent by no later than 3:00 p.m. (New York time) on the due date thereof at the office of the Administrative Agent in New York City, New York (or such other location as the Administrative Agent may designate to the Borrower), for the benefit of the Lender(s) or the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18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b.</w:t>
      </w:r>
      <w:r>
        <w:rPr>
          <w:sz w:val="20"/>
          <w:szCs w:val="20"/>
          <w:color w:val="auto"/>
        </w:rPr>
        <w:tab/>
      </w:r>
      <w:r>
        <w:rPr>
          <w:rFonts w:ascii="Times New Roman" w:cs="Times New Roman" w:eastAsia="Times New Roman" w:hAnsi="Times New Roman"/>
          <w:sz w:val="21"/>
          <w:szCs w:val="21"/>
          <w:color w:val="auto"/>
        </w:rPr>
        <w:t>Application of Payments</w:t>
      </w:r>
    </w:p>
    <w:p>
      <w:pPr>
        <w:spacing w:after="0" w:line="224" w:lineRule="exact"/>
        <w:rPr>
          <w:sz w:val="20"/>
          <w:szCs w:val="20"/>
          <w:color w:val="auto"/>
        </w:rPr>
      </w:pPr>
    </w:p>
    <w:p>
      <w:pPr>
        <w:jc w:val="both"/>
        <w:ind w:left="660" w:firstLine="444"/>
        <w:spacing w:after="0" w:line="265" w:lineRule="auto"/>
        <w:rPr>
          <w:sz w:val="20"/>
          <w:szCs w:val="20"/>
          <w:color w:val="auto"/>
        </w:rPr>
      </w:pPr>
      <w:r>
        <w:rPr>
          <w:rFonts w:ascii="Times New Roman" w:cs="Times New Roman" w:eastAsia="Times New Roman" w:hAnsi="Times New Roman"/>
          <w:sz w:val="21"/>
          <w:szCs w:val="21"/>
          <w:color w:val="auto"/>
        </w:rPr>
        <w:t>(i)Anything contained herein to the contrary notwithstanding (including, without limitation, Section 1.6(b) hereof), all payments and collections received in connection with the Obligations and all proceeds of the Collateral received, in each instance, by the Administrative Agent or any of the Lenders after acceleration or the final maturity of the Obligations or termination of the Commitments as a result of an Event of Default or otherwise in connection with the exercise of remedies under the Loan Documents shall be remitted to the Administrative Agent and distributed as follows:</w:t>
      </w:r>
    </w:p>
    <w:p>
      <w:pPr>
        <w:spacing w:after="0" w:line="165" w:lineRule="exact"/>
        <w:rPr>
          <w:sz w:val="20"/>
          <w:szCs w:val="20"/>
          <w:color w:val="auto"/>
        </w:rPr>
      </w:pPr>
    </w:p>
    <w:p>
      <w:pPr>
        <w:jc w:val="both"/>
        <w:ind w:left="1300" w:firstLine="652"/>
        <w:spacing w:after="0" w:line="268" w:lineRule="auto"/>
        <w:tabs>
          <w:tab w:leader="none" w:pos="259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the payment of any outstanding costs and expenses incurred by the Administrative Agent, and any security trustee therefor, in monitoring, verifying, protecting, preserving or enforcing the Liens on the Collateral, in protecting, preserving or enforcing rights under the Loan Documents, and in any event including all costs and expenses of a character which the Borrower and the Guarantors have agreed to pay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6" w:name="page167"/>
    <w:bookmarkEnd w:id="166"/>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Agent under Section 13.15 (such funds to be retained by the Administrative Agent for its own account except to the extent it has previously been reimbursed for such costs and expenses by the Lenders, in which event such reimbursed amounts shall be remitted to the Lenders to reimburse them for payments theretofore made to the Administrative Agent after application to the Administrative Agent of all such amounts for which it had not been previously reimbursed by the Lenders);</w:t>
      </w:r>
    </w:p>
    <w:p>
      <w:pPr>
        <w:spacing w:after="0" w:line="181" w:lineRule="exact"/>
        <w:rPr>
          <w:sz w:val="20"/>
          <w:szCs w:val="20"/>
          <w:color w:val="auto"/>
        </w:rPr>
      </w:pPr>
    </w:p>
    <w:p>
      <w:pPr>
        <w:ind w:left="1300" w:firstLine="652"/>
        <w:spacing w:after="0" w:line="271" w:lineRule="auto"/>
        <w:tabs>
          <w:tab w:leader="none" w:pos="25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payment of any outstanding interest and fees due under the Loan Documents to be allocated pro rata in accordance with the aggregate unpaid amounts owing to each holder thereof;</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principal on the Loans, unpaid Reimbursement Obligations, together with amounts to be held by the Administrative Agent as collateral security for any outstanding L/C Obligations pursuant to Section 9.4 (until the Administrative Agent is holding the Minimum Collateral Amount of the then outstanding amount of all such L/C Obligations), and Hedging Liability, the aggregate amount paid to, or held as collateral security for, the Lenders and L/C Issuer and, in the case of Hedging Liability, their Affiliates to be allocated pro rata in accordance with the aggregate unpaid amounts owing to each holder thereof;</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the payment of all other unpaid Obligations and all other indebtedness, obligations, and liabilities of the Borrower and the Guarantors secured by the Loan Documents (including, without limitation, Funds Transfer and Deposit Account Liability) to be allocated pro rata in accordance with the aggregate unpaid amounts owing to each holder thereof; and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to the Borrower or whoever else may be lawfully entitled thereto.</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c. Account Debit</w:t>
      </w:r>
      <w:r>
        <w:rPr>
          <w:rFonts w:ascii="Times New Roman" w:cs="Times New Roman" w:eastAsia="Times New Roman" w:hAnsi="Times New Roman"/>
          <w:sz w:val="22"/>
          <w:szCs w:val="22"/>
          <w:color w:val="auto"/>
        </w:rPr>
        <w:t>. The Borrower hereby irrevocably authorizes the Administrative Agent to charge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Borrower’s deposit accounts maintained with the Administrative Agent for the amounts from time to time necessary to pay any then due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acknowledges and agrees that the Administrative Agent shall not be under an obligation to do so and the Administrative Agent shall not incur any liability to the Borrower or any other Person for the Administrative Agent’s failure to do so.</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GUARANTIES AND COLLATERAL.</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a. Guaranties</w:t>
      </w:r>
      <w:r>
        <w:rPr>
          <w:rFonts w:ascii="Times New Roman" w:cs="Times New Roman" w:eastAsia="Times New Roman" w:hAnsi="Times New Roman"/>
          <w:sz w:val="22"/>
          <w:szCs w:val="22"/>
          <w:color w:val="auto"/>
        </w:rPr>
        <w:t>. The payment and performance of the Secured Obligations shall at all times be guaranteed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Holdings and each direct and indirect Domestic Borrower Subsidiary pursuant to Section 12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“Guaranties”</w:t>
      </w:r>
      <w:r>
        <w:rPr>
          <w:rFonts w:ascii="Times New Roman" w:cs="Times New Roman" w:eastAsia="Times New Roman" w:hAnsi="Times New Roman"/>
          <w:sz w:val="22"/>
          <w:szCs w:val="22"/>
          <w:color w:val="auto"/>
        </w:rPr>
        <w:t xml:space="preserve"> and each of Holdings and each such Borrower Subsidiary executing and delivering this Agreement as a Guarantor (including any Borrower Subsidiary hereafter executing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delivering an Additional Guarantor Supplement in the form called for by Section 12 hereof) or a separate Guaranty being referred to herein as a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b. Collateral</w:t>
      </w:r>
      <w:r>
        <w:rPr>
          <w:rFonts w:ascii="Times New Roman" w:cs="Times New Roman" w:eastAsia="Times New Roman" w:hAnsi="Times New Roman"/>
          <w:sz w:val="22"/>
          <w:szCs w:val="22"/>
          <w:color w:val="auto"/>
        </w:rPr>
        <w:t>. The Secured Obligations shall be secured by valid, perfected, and enforceable Liens on all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title, and interest of the Borrower in the following personal property: all Receivables and all letter of credit rights and insurance relating to such Receivables; all Purchase Agreements; all documents of title with respect to any Qualified Commodity including, without limitation, warehouse receipts (both tangible and electronic); all storage agreements relating to Qualified Commodities; Renewable Identification Numbers; Hedging Accounts and Hedging Agreements; investment property, deposit accounts, Qualified Commodities, general intangibles relating to the foregoing; chattel paper, including leases for Precious Metals and all rights, title and benefit of the Borrower under such leases, rights to merchandise and other goods which is represented by, arises from, or relates to any of the foregoing; supporting obligations and security interests relating to the foregoing; monies, personal property, and interests in personal property of the Borrower of any kind or description held by any Lender, and all dividends and distributions on or other rights in connection with any such property; supporting evidence and documents relating to any of the above-described property; and accessions and additions to, and substitutions and replacements of, any and all of the foregoing, in each case whether now owned or hereafter acquired or arising, and all proceeds thereof. The Borrower acknowledges and agrees that the Liens on the Collateral shall be granted to the Administrative Agent for the benefit of the holders of the Secured Obligations, and shall be valid and perfected first priority Liens subject, however, to Liens permitted by Section 8.8 hereof, in each case pursuant to one or more Collateral Documents from the Borrower in form and substance satisfactory to the Administrative Agent.</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c. Further Assurances</w:t>
      </w:r>
      <w:r>
        <w:rPr>
          <w:rFonts w:ascii="Times New Roman" w:cs="Times New Roman" w:eastAsia="Times New Roman" w:hAnsi="Times New Roman"/>
          <w:sz w:val="22"/>
          <w:szCs w:val="22"/>
          <w:color w:val="auto"/>
        </w:rPr>
        <w:t>. The Borrower agrees that it shall, and shall cause each Guarantor to,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the request of the Administrative Agent or the Required Lenders, execute and deliver such documents and do such acts and things as the Administrative Agent or the Required Lenders may reasonably request in order to provide for or perfect or protect such Liens on the Collateral. In the event the Borrower or any Guarantor forms or acquires any other Domestic Borrower Subsidiary after the date hereof, except as otherwise provided in Sections 4.1 and 4.2 above, the Borrower shall promptly upon such formation or acquisition cause such newly formed or acquired Domestic Borrower Subsidiary to execute a Guaranty and such Collateral Documents as the Administrative Agent may then require, and the Borrower shall also deliver to the Administrative Agent, or cause such Domestic Borrower Subsidiary to deliver to the Administrative Agent, at the Borrower’s cost and expense, such other instruments, documents, certificates, and opinions reasonably required by the Administrative Agent in connection therewith.</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DEFINITIONS; INTERPRETATION.</w:t>
      </w:r>
    </w:p>
    <w:p>
      <w:pPr>
        <w:spacing w:after="0" w:line="21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a.</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The following terms when used herein shall have the following meanings: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“Account Debtor” </w:t>
      </w:r>
      <w:r>
        <w:rPr>
          <w:rFonts w:ascii="Times New Roman" w:cs="Times New Roman" w:eastAsia="Times New Roman" w:hAnsi="Times New Roman"/>
          <w:sz w:val="22"/>
          <w:szCs w:val="22"/>
          <w:color w:val="auto"/>
        </w:rPr>
        <w:t>means any Person obligated to make payment on any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is defined in Section 13.24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“Adjusted LIBOR” </w:t>
      </w:r>
      <w:r>
        <w:rPr>
          <w:rFonts w:ascii="Times New Roman" w:cs="Times New Roman" w:eastAsia="Times New Roman" w:hAnsi="Times New Roman"/>
          <w:sz w:val="22"/>
          <w:szCs w:val="22"/>
          <w:color w:val="auto"/>
        </w:rPr>
        <w:t>is defined in Section 1.2(b) hereof.</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means Coöperatieve Rabobank U.A., in its capacity as Administrative Agent hereunder,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in such capacity pursuant to Section 11.7 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“Administrative Questionnaire” </w:t>
      </w:r>
      <w:r>
        <w:rPr>
          <w:rFonts w:ascii="Times New Roman" w:cs="Times New Roman" w:eastAsia="Times New Roman" w:hAnsi="Times New Roman"/>
          <w:sz w:val="21"/>
          <w:szCs w:val="21"/>
          <w:color w:val="auto"/>
        </w:rPr>
        <w:t>means an Administrative Questionnaire in a form supplied by the Administrative Agent.</w:t>
      </w:r>
    </w:p>
    <w:p>
      <w:pPr>
        <w:spacing w:after="0" w:line="23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any Person directly or indirectly controlling or controlled by, or under direct or indirect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in any event for purposes of this definition, any Person that owns, directly or indirectly, 5% or more of the securities having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ordinary voting power for the election of directors or governing body of a corporation or 5% or more of the partnership or other ownership interest of any other Person (other than as a limited partner of such other Person) will be deemed to control such corporation or other Person.</w:t>
      </w:r>
    </w:p>
    <w:p>
      <w:pPr>
        <w:spacing w:after="0" w:line="18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Credit Agreement, as the same may be amended, modified, restated or supplemented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pursuant to the terms hereof.</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“Agreement to Pledge” </w:t>
      </w:r>
      <w:r>
        <w:rPr>
          <w:rFonts w:ascii="Times New Roman" w:cs="Times New Roman" w:eastAsia="Times New Roman" w:hAnsi="Times New Roman"/>
          <w:sz w:val="22"/>
          <w:szCs w:val="22"/>
          <w:color w:val="auto"/>
        </w:rPr>
        <w:t>means tangible negotiable document of title in the possession of the Borrower, copies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included in a notice from the Borrower received pursuant to Section 1.4(a) attached hereto as Exhibit A, and the Borrower has agreed to deliver originals of such document of title with all necessary endorsements within one (1) Business Day of any Loan advance in reliance upon such document of title.</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“Anti-Corruption Laws” </w:t>
      </w:r>
      <w:r>
        <w:rPr>
          <w:rFonts w:ascii="Times New Roman" w:cs="Times New Roman" w:eastAsia="Times New Roman" w:hAnsi="Times New Roman"/>
          <w:sz w:val="22"/>
          <w:szCs w:val="22"/>
          <w:color w:val="auto"/>
        </w:rPr>
        <w:t>means all laws, rules, and regulations of any jurisdiction applicable to Holdings, the Borrower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Subsidiaries from time to time concerning or relating to bribery or corruption, including, without limitation, the United States Foreign Corrupt Practices Act of 1977, as amended, and the rules and regulations thereunder.</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Anti-Terrorism Laws</w:t>
      </w:r>
      <w:r>
        <w:rPr>
          <w:rFonts w:ascii="Times New Roman" w:cs="Times New Roman" w:eastAsia="Times New Roman" w:hAnsi="Times New Roman"/>
          <w:sz w:val="22"/>
          <w:szCs w:val="22"/>
          <w:color w:val="auto"/>
        </w:rPr>
        <w:t>” means any laws, regulations, or orders of any Governmental Authority of the United States of America, the United Nations, United Kingdom, European Union, or the Netherlands relating to terrorism financing or money laundering, including, but not limited to, the International Emergency Economic Powers Act (50 U.S.C. § 1701 et seq.), the Trading With the Enemy Act (50 U.S.C. § 5 et seq.), the International Security Development and Cooperation Act (22 U.S.C. § 2349aa-9 et seq.), the Executive Order No. 13224 on Terrorist Financing, effective September 24, 2001, the Act, and any rules or regulations promulgated pursuant to or under the authority of any of the foregoing.</w:t>
      </w:r>
    </w:p>
    <w:p>
      <w:pPr>
        <w:spacing w:after="0" w:line="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(i) with respect to Base Rate Loans, zero percent (0.0%) (ii) with respect to Eurodollar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two and one quarter of one percent (2.25%), and (iii)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respect to the commitment fees set forth in Section 2.1(a) hereof, thirty-five hundredths of one percent (0.35%).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“Application” </w:t>
      </w:r>
      <w:r>
        <w:rPr>
          <w:rFonts w:ascii="Times New Roman" w:cs="Times New Roman" w:eastAsia="Times New Roman" w:hAnsi="Times New Roman"/>
          <w:sz w:val="22"/>
          <w:szCs w:val="22"/>
          <w:color w:val="auto"/>
        </w:rPr>
        <w:t>is defined in Section 1.1(c)(ii) hereof.</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“Approved Fund” </w:t>
      </w:r>
      <w:r>
        <w:rPr>
          <w:rFonts w:ascii="Times New Roman" w:cs="Times New Roman" w:eastAsia="Times New Roman" w:hAnsi="Times New Roman"/>
          <w:sz w:val="22"/>
          <w:szCs w:val="22"/>
          <w:color w:val="auto"/>
        </w:rPr>
        <w:t>means any Fund that is administered or managed by (a) a Lender, (b) an Affiliate of a Lender or (c)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entity or an Affiliate of an entity that administers or manages a Lender.</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“Approved Jurisdiction” </w:t>
      </w:r>
      <w:r>
        <w:rPr>
          <w:rFonts w:ascii="Times New Roman" w:cs="Times New Roman" w:eastAsia="Times New Roman" w:hAnsi="Times New Roman"/>
          <w:sz w:val="22"/>
          <w:szCs w:val="22"/>
          <w:color w:val="auto"/>
        </w:rPr>
        <w:t>means the United States (or any state thereof), Canada (or any province thereof), Colombia,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Ecuador, Mexico, the Netherlands, Spain, Germany, Italy, France, Belgium and any other jurisdiction approved by the Required Lenders and the Administrative Agent.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“Approved Provider” </w:t>
      </w:r>
      <w:r>
        <w:rPr>
          <w:rFonts w:ascii="Times New Roman" w:cs="Times New Roman" w:eastAsia="Times New Roman" w:hAnsi="Times New Roman"/>
          <w:sz w:val="22"/>
          <w:szCs w:val="22"/>
          <w:color w:val="auto"/>
        </w:rPr>
        <w:t>means any Person that: (i) maintains secure electronic systems for the recording, holding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transferring of electronic warehouse receipts and other electronic documents and information regarding ownership, transfers and pledges of the same that are fully compliant with applicable law, the agreement pursuant to which the Borrower or the Administrative Agent, in the case of Qualified Commodities located in the United States of America, or the Administrative Agent, in the case of Qualified Commodities not located in the United States of America, maintains its account with such Person, and the Administrative Agent’s standards for electronic security of assets and information, in each case as determined by the Administrative Agent in its sole discretion from time to time; (ii) is an authorized “provider” of a “central filing system” for the maintenance of electronic warehouse receipts or other electronic documents in good standing with and in full compliance with all requirements of 7 C.F.R. Part 735, including all requirements applicable under the provider agreement between such Person and the US Farm Services Agency (or its designee under applicable regulations); (iii) has entered into an agreement allowing the Borrower or the Administrative Agent, in the case of Qualified Commodities located in the United States of America, or the Administrative Agent, in the case of Qualified Commodities not located in the United States of America, to hold an account for the crediting of electronic warehouse receipts or other electronic documents, and to participate in such central filing system on terms and conditions satisfactory to the Administrative Agent in its sole discretion, (iv) at all times maintain in full force and effect any and all necessary insurance, sureties and bonds required by applicable law or the agreement pursuant to which the Administrative Agent maintains its account with such Person, and (v) that is otherwise satisfactory to the Administrative Agent in its sole discretion.</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“Assignment and Acceptance” </w:t>
      </w:r>
      <w:r>
        <w:rPr>
          <w:rFonts w:ascii="Times New Roman" w:cs="Times New Roman" w:eastAsia="Times New Roman" w:hAnsi="Times New Roman"/>
          <w:sz w:val="22"/>
          <w:szCs w:val="22"/>
          <w:color w:val="auto"/>
        </w:rPr>
        <w:t>means an assignment and acceptance entered into by a Lender and an Eligible Assignee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consent of any party whose consent is required by Section 13.12 hereof), and accepted by the Administrative Agent, in substantially the form of Exhibit F or any other form approved by the Administrative Agent.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“Authorized Representative” </w:t>
      </w:r>
      <w:r>
        <w:rPr>
          <w:rFonts w:ascii="Times New Roman" w:cs="Times New Roman" w:eastAsia="Times New Roman" w:hAnsi="Times New Roman"/>
          <w:sz w:val="22"/>
          <w:szCs w:val="22"/>
          <w:color w:val="auto"/>
        </w:rPr>
        <w:t>means those persons shown on the list of officers provided by the Borrower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7.2 hereof or on any update of any such list provided by the Borrower to the Administrative Agent, or any further or different officers of the Borrower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named by any Authorized Representative of the Borrower in a written notice to the Administrative Agent.</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“Base Rate” </w:t>
      </w:r>
      <w:r>
        <w:rPr>
          <w:rFonts w:ascii="Times New Roman" w:cs="Times New Roman" w:eastAsia="Times New Roman" w:hAnsi="Times New Roman"/>
          <w:sz w:val="22"/>
          <w:szCs w:val="22"/>
          <w:color w:val="auto"/>
        </w:rPr>
        <w:t>is defined in Section 1.2(a)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“Base Rate Loan” </w:t>
      </w:r>
      <w:r>
        <w:rPr>
          <w:rFonts w:ascii="Times New Roman" w:cs="Times New Roman" w:eastAsia="Times New Roman" w:hAnsi="Times New Roman"/>
          <w:sz w:val="22"/>
          <w:szCs w:val="22"/>
          <w:color w:val="auto"/>
        </w:rPr>
        <w:t>means a Loan bearing interest at a rate specified in Section 1.2(a) hereof.</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LIBOR Index Rate for U.S. dollar-denominated syndicated credit facilities and (b) the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so determined would be less than zero, the Benchmark Replacement will be deemed to be zero for the purposes of this Agreement.</w:t>
      </w:r>
    </w:p>
    <w:p>
      <w:pPr>
        <w:spacing w:after="0" w:line="7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LIBOR Index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the LIBOR Index Rate with the applicable Unadjusted Benchmark Replacement by the Relevant Governmental Body or (b) any evolving or then-prevailing market convention for determining a spread adjustment, or method for calculating or determining such spread adjustment, for the replacement of the LIBOR Index Rate with the applicable Unadjusted Benchmark Replacement for U.S. dollar-denominated syndicated credit facilities at such time.</w:t>
      </w:r>
    </w:p>
    <w:p>
      <w:pPr>
        <w:spacing w:after="0" w:line="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“Adjusted LIBOR Rate”, “Adjusted LIBOR”, “Base Rate”, “Eurodollar”, “Interest Period” and “LIBOR Index Rate”,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1" w:name="page172"/>
    <w:bookmarkEnd w:id="171"/>
    <w:p>
      <w:pPr>
        <w:jc w:val="both"/>
        <w:spacing w:after="0" w:line="257" w:lineRule="auto"/>
        <w:rPr>
          <w:sz w:val="20"/>
          <w:szCs w:val="20"/>
          <w:color w:val="auto"/>
        </w:rPr>
      </w:pPr>
      <w:r>
        <w:rPr>
          <w:rFonts w:ascii="Times New Roman" w:cs="Times New Roman" w:eastAsia="Times New Roman" w:hAnsi="Times New Roman"/>
          <w:sz w:val="22"/>
          <w:szCs w:val="22"/>
          <w:color w:val="auto"/>
        </w:rPr>
        <w:t>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 Date</w:t>
      </w:r>
      <w:r>
        <w:rPr>
          <w:rFonts w:ascii="Times New Roman" w:cs="Times New Roman" w:eastAsia="Times New Roman" w:hAnsi="Times New Roman"/>
          <w:sz w:val="21"/>
          <w:szCs w:val="21"/>
          <w:color w:val="auto"/>
        </w:rPr>
        <w:t>” means the earlier to occur of the following events with respect to the LIBOR Index Rate:</w:t>
      </w:r>
    </w:p>
    <w:p>
      <w:pPr>
        <w:spacing w:after="0" w:line="127" w:lineRule="exact"/>
        <w:rPr>
          <w:sz w:val="20"/>
          <w:szCs w:val="20"/>
          <w:color w:val="auto"/>
        </w:rPr>
      </w:pPr>
    </w:p>
    <w:p>
      <w:pPr>
        <w:jc w:val="both"/>
        <w:ind w:left="660" w:firstLine="644"/>
        <w:spacing w:after="0" w:line="257" w:lineRule="auto"/>
        <w:tabs>
          <w:tab w:leader="none" w:pos="19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the LIBOR Index Rate permanently or indefinitely ceases to provide the LIBOR Index Rate; or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date of the public statement or publication of information referenced therein.</w:t>
      </w:r>
    </w:p>
    <w:p>
      <w:pPr>
        <w:spacing w:after="0" w:line="154"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LIBOR Index Rate:</w:t>
      </w:r>
    </w:p>
    <w:p>
      <w:pPr>
        <w:spacing w:after="0" w:line="45" w:lineRule="exact"/>
        <w:rPr>
          <w:sz w:val="20"/>
          <w:szCs w:val="20"/>
          <w:color w:val="auto"/>
        </w:rPr>
      </w:pPr>
    </w:p>
    <w:p>
      <w:pPr>
        <w:jc w:val="both"/>
        <w:ind w:left="660" w:firstLine="534"/>
        <w:spacing w:after="0" w:line="252" w:lineRule="auto"/>
        <w:rPr>
          <w:sz w:val="20"/>
          <w:szCs w:val="20"/>
          <w:color w:val="auto"/>
        </w:rPr>
      </w:pPr>
      <w:r>
        <w:rPr>
          <w:rFonts w:ascii="Times New Roman" w:cs="Times New Roman" w:eastAsia="Times New Roman" w:hAnsi="Times New Roman"/>
          <w:sz w:val="22"/>
          <w:szCs w:val="22"/>
          <w:color w:val="auto"/>
        </w:rPr>
        <w:t xml:space="preserve">i.a public statement or publication of information by or on behalf of the administrator of the LIBOR Index Rate announcing that such administrator has ceased or will cease to provide the LIBOR Index Rate,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the LIBOR Index Rate;</w:t>
      </w:r>
    </w:p>
    <w:p>
      <w:pPr>
        <w:spacing w:after="0" w:line="179" w:lineRule="exact"/>
        <w:rPr>
          <w:sz w:val="20"/>
          <w:szCs w:val="20"/>
          <w:color w:val="auto"/>
        </w:rPr>
      </w:pPr>
    </w:p>
    <w:p>
      <w:pPr>
        <w:jc w:val="both"/>
        <w:ind w:left="660" w:firstLine="474"/>
        <w:spacing w:after="0" w:line="248" w:lineRule="auto"/>
        <w:rPr>
          <w:sz w:val="20"/>
          <w:szCs w:val="20"/>
          <w:color w:val="auto"/>
        </w:rPr>
      </w:pPr>
      <w:r>
        <w:rPr>
          <w:rFonts w:ascii="Times New Roman" w:cs="Times New Roman" w:eastAsia="Times New Roman" w:hAnsi="Times New Roman"/>
          <w:sz w:val="22"/>
          <w:szCs w:val="22"/>
          <w:color w:val="auto"/>
        </w:rPr>
        <w:t xml:space="preserve">ii.a public statement or publication of information by the regulatory supervisor for the administrator of the LIBOR Index Rate, the U.S. Federal Reserve System, an insolvency official with jurisdiction over the administrator for the LIBOR Index Rate, a resolution authority with jurisdiction over the administrator for the LIBOR Index Rate or a court or an entity with similar insolvency or resolution authority over the administrator for the LIBOR Index Rate, which states that the administrator of the LIBOR Index Rate has ceased or will cease to provide the LIBOR Index Rate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the LIBOR Index Rate; or</w:t>
      </w:r>
    </w:p>
    <w:p>
      <w:pPr>
        <w:spacing w:after="0" w:line="182" w:lineRule="exact"/>
        <w:rPr>
          <w:sz w:val="20"/>
          <w:szCs w:val="20"/>
          <w:color w:val="auto"/>
        </w:rPr>
      </w:pPr>
    </w:p>
    <w:p>
      <w:pPr>
        <w:jc w:val="both"/>
        <w:ind w:left="660" w:firstLine="414"/>
        <w:spacing w:after="0" w:line="271" w:lineRule="auto"/>
        <w:rPr>
          <w:sz w:val="20"/>
          <w:szCs w:val="20"/>
          <w:color w:val="auto"/>
        </w:rPr>
      </w:pPr>
      <w:r>
        <w:rPr>
          <w:rFonts w:ascii="Times New Roman" w:cs="Times New Roman" w:eastAsia="Times New Roman" w:hAnsi="Times New Roman"/>
          <w:sz w:val="22"/>
          <w:szCs w:val="22"/>
          <w:color w:val="auto"/>
        </w:rPr>
        <w:t>iii.a public statement or publication of information by the regulatory supervisor for the administrator of the LIBOR Index Rate announcing that the LIBOR Index Rate is no longer representative.</w:t>
      </w:r>
    </w:p>
    <w:p>
      <w:pPr>
        <w:spacing w:after="0" w:line="15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Start Date</w:t>
      </w:r>
      <w:r>
        <w:rPr>
          <w:rFonts w:ascii="Times New Roman" w:cs="Times New Roman" w:eastAsia="Times New Roman" w:hAnsi="Times New Roman"/>
          <w:sz w:val="22"/>
          <w:szCs w:val="22"/>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ninety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2" w:name="page173"/>
    <w:bookmarkEnd w:id="172"/>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xml:space="preserve">” means, if a Benchmark Transition Event and its related Benchmark Replacement Date have occurred with respect to the LIBOR Index Rate and solely to the extent that the LIBOR Index Rate has not been replaced with a Benchmark Replacement, the period (a) beginning at the time that such Benchmark Replacement Date has occurred if, at such time, no Benchmark Replacement has replaced the LIBOR Index Rate for all purposes hereunder in accordance with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 xml:space="preserve"> and (b) ending at the time that a Benchmark Replacement has replaced the LIBOR Index Rate for all purposes hereunder pursuant to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is defined in the introductory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“Borrower Subsidiary” </w:t>
      </w:r>
      <w:r>
        <w:rPr>
          <w:rFonts w:ascii="Times New Roman" w:cs="Times New Roman" w:eastAsia="Times New Roman" w:hAnsi="Times New Roman"/>
          <w:sz w:val="22"/>
          <w:szCs w:val="22"/>
          <w:color w:val="auto"/>
        </w:rPr>
        <w:t>means a Subsidiary of the Borrower or of any of its direct or indirect Subsidiaries.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“Borrowing” </w:t>
      </w:r>
      <w:r>
        <w:rPr>
          <w:rFonts w:ascii="Times New Roman" w:cs="Times New Roman" w:eastAsia="Times New Roman" w:hAnsi="Times New Roman"/>
          <w:sz w:val="22"/>
          <w:szCs w:val="22"/>
          <w:color w:val="auto"/>
        </w:rPr>
        <w:t>means the total of Loans of a single type advanced, continued for an additional Interest Period, or converted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from a different type into such type by the Lenders on a single date and, in the case of Eurodollar Loans, for a single Interest Period. Borrowings of Loans are made and maintained ratably from each of the Lenders according to their Revolver Percentages. A Borrowing is </w:t>
      </w:r>
      <w:r>
        <w:rPr>
          <w:rFonts w:ascii="Times New Roman" w:cs="Times New Roman" w:eastAsia="Times New Roman" w:hAnsi="Times New Roman"/>
          <w:sz w:val="22"/>
          <w:szCs w:val="22"/>
          <w:i w:val="1"/>
          <w:iCs w:val="1"/>
          <w:color w:val="auto"/>
        </w:rPr>
        <w:t>“advanced”</w:t>
      </w:r>
      <w:r>
        <w:rPr>
          <w:rFonts w:ascii="Times New Roman" w:cs="Times New Roman" w:eastAsia="Times New Roman" w:hAnsi="Times New Roman"/>
          <w:sz w:val="22"/>
          <w:szCs w:val="22"/>
          <w:color w:val="auto"/>
        </w:rPr>
        <w:t xml:space="preserve"> on the day Lenders advance funds comprising such Borrowing to the Borrower, is </w:t>
      </w:r>
      <w:r>
        <w:rPr>
          <w:rFonts w:ascii="Times New Roman" w:cs="Times New Roman" w:eastAsia="Times New Roman" w:hAnsi="Times New Roman"/>
          <w:sz w:val="22"/>
          <w:szCs w:val="22"/>
          <w:i w:val="1"/>
          <w:iCs w:val="1"/>
          <w:color w:val="auto"/>
        </w:rPr>
        <w:t>“continued”</w:t>
      </w:r>
      <w:r>
        <w:rPr>
          <w:rFonts w:ascii="Times New Roman" w:cs="Times New Roman" w:eastAsia="Times New Roman" w:hAnsi="Times New Roman"/>
          <w:sz w:val="22"/>
          <w:szCs w:val="22"/>
          <w:color w:val="auto"/>
        </w:rPr>
        <w:t xml:space="preserve"> on the date a new Interest Period for the same type of Loans commences for such Borrowing, and is </w:t>
      </w:r>
      <w:r>
        <w:rPr>
          <w:rFonts w:ascii="Times New Roman" w:cs="Times New Roman" w:eastAsia="Times New Roman" w:hAnsi="Times New Roman"/>
          <w:sz w:val="22"/>
          <w:szCs w:val="22"/>
          <w:i w:val="1"/>
          <w:iCs w:val="1"/>
          <w:color w:val="auto"/>
        </w:rPr>
        <w:t>“converted”</w:t>
      </w:r>
      <w:r>
        <w:rPr>
          <w:rFonts w:ascii="Times New Roman" w:cs="Times New Roman" w:eastAsia="Times New Roman" w:hAnsi="Times New Roman"/>
          <w:sz w:val="22"/>
          <w:szCs w:val="22"/>
          <w:color w:val="auto"/>
        </w:rPr>
        <w:t xml:space="preserve"> when such Borrowing is changed from one type of Loans to the other, all as determined pursuant to Section 1.4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“Borrowing Base” </w:t>
      </w:r>
      <w:r>
        <w:rPr>
          <w:rFonts w:ascii="Times New Roman" w:cs="Times New Roman" w:eastAsia="Times New Roman" w:hAnsi="Times New Roman"/>
          <w:sz w:val="22"/>
          <w:szCs w:val="22"/>
          <w:color w:val="auto"/>
        </w:rPr>
        <w:t>means, as of any time it is to be determined, the sum (without duplication) of:</w:t>
      </w:r>
    </w:p>
    <w:p>
      <w:pPr>
        <w:spacing w:after="0" w:line="224" w:lineRule="exact"/>
        <w:rPr>
          <w:sz w:val="20"/>
          <w:szCs w:val="20"/>
          <w:color w:val="auto"/>
        </w:rPr>
      </w:pPr>
    </w:p>
    <w:p>
      <w:pPr>
        <w:jc w:val="both"/>
        <w:ind w:firstLine="1304"/>
        <w:spacing w:after="0" w:line="257" w:lineRule="auto"/>
        <w:tabs>
          <w:tab w:leader="none" w:pos="182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cash of the Borrower maintained in an account that is subject to a first priority perfected Lien in favor of the Administrative Agent, including pursuant to a control agreement in form and substance acceptable to the Administrative Agent; plus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5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90% of the Net Hedging Value of all Hedging Agreements maintained in an Eligible Hedging Account (including, for the avoidance of doubt, those relating to the Merchants Plus Program); </w:t>
      </w:r>
      <w:r>
        <w:rPr>
          <w:rFonts w:ascii="Times New Roman" w:cs="Times New Roman" w:eastAsia="Times New Roman" w:hAnsi="Times New Roman"/>
          <w:sz w:val="22"/>
          <w:szCs w:val="22"/>
          <w:i w:val="1"/>
          <w:iCs w:val="1"/>
          <w:color w:val="auto"/>
        </w:rPr>
        <w:t>plus</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of the then outstanding unpaid amount of Eligible Receivables (Insured or Investment Grade), provided that the aggregate amount of Eligible Receivables (Insured or Investment Grade) owing from any one Account Debtor and its Affiliates included in this clause (c) shall not exceed $25,000,000 at any time; plus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82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(i) 80% of the then outstanding unpaid amount of Eligible Receivables (Uninsured), provided that the aggregate amount of Eligible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73" w:name="page174"/>
    <w:bookmarkEnd w:id="173"/>
    <w:p>
      <w:pPr>
        <w:spacing w:after="0" w:line="271" w:lineRule="auto"/>
        <w:rPr>
          <w:sz w:val="20"/>
          <w:szCs w:val="20"/>
          <w:color w:val="auto"/>
        </w:rPr>
      </w:pPr>
      <w:r>
        <w:rPr>
          <w:rFonts w:ascii="Times New Roman" w:cs="Times New Roman" w:eastAsia="Times New Roman" w:hAnsi="Times New Roman"/>
          <w:sz w:val="22"/>
          <w:szCs w:val="22"/>
          <w:color w:val="auto"/>
        </w:rPr>
        <w:t xml:space="preserve">(Uninsured) owing from any one Account Debtor and its Affiliates included in this clause (d)(i) shall not exceed $6,000,000 at any time; and (ii) $30,000,000; </w:t>
      </w:r>
      <w:r>
        <w:rPr>
          <w:rFonts w:ascii="Times New Roman" w:cs="Times New Roman" w:eastAsia="Times New Roman" w:hAnsi="Times New Roman"/>
          <w:sz w:val="22"/>
          <w:szCs w:val="22"/>
          <w:i w:val="1"/>
          <w:iCs w:val="1"/>
          <w:color w:val="auto"/>
        </w:rPr>
        <w:t>plus</w:t>
      </w:r>
    </w:p>
    <w:p>
      <w:pPr>
        <w:spacing w:after="0" w:line="158" w:lineRule="exact"/>
        <w:rPr>
          <w:sz w:val="20"/>
          <w:szCs w:val="20"/>
          <w:color w:val="auto"/>
        </w:rPr>
      </w:pPr>
    </w:p>
    <w:p>
      <w:pPr>
        <w:jc w:val="both"/>
        <w:ind w:firstLine="1304"/>
        <w:spacing w:after="0" w:line="268" w:lineRule="auto"/>
        <w:tabs>
          <w:tab w:leader="none" w:pos="177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 of the Market Value at such time of all Eligible Commodities consisting of Eligible Tier I Commodities that are either (i) subject to floating index Eligible Purchase Agreements,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Market Value of Eligible Commodities subject to Eligible Purchase Agreements with any one Purchaser and its Affiliates included in this clause (e)(i) shall not exceed $40,000,000 at any time or (ii) subject to Hedging Agreements maintained in an Eligible Hedging Account; plus; </w:t>
      </w:r>
      <w:r>
        <w:rPr>
          <w:rFonts w:ascii="Times New Roman" w:cs="Times New Roman" w:eastAsia="Times New Roman" w:hAnsi="Times New Roman"/>
          <w:sz w:val="21"/>
          <w:szCs w:val="21"/>
          <w:i w:val="1"/>
          <w:iCs w:val="1"/>
          <w:color w:val="auto"/>
        </w:rPr>
        <w:t>plus</w:t>
      </w:r>
    </w:p>
    <w:p>
      <w:pPr>
        <w:spacing w:after="0" w:line="163"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4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(i) 80% of the Market Value at such time of all Eligible Commodities consisting of Eligible Tier II Commodities that are either (x) subject to floating index Eligible Purchase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Market Value of Eligible Commodities subject to Eligible Purchase Agreements with any one Purchaser and its Affiliates included in this clause (f)(i)(x) shall not exceed $15,000,000 at any time or (y) subject to Hedging Agreements maintained in an Eligible Hedging Account,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Market Value of Eligible Commodities consisting of any single type of Qualified Commodity shall not exceed $15,000,000 at any time and (ii) $60,000,000; </w:t>
      </w:r>
      <w:r>
        <w:rPr>
          <w:rFonts w:ascii="Times New Roman" w:cs="Times New Roman" w:eastAsia="Times New Roman" w:hAnsi="Times New Roman"/>
          <w:sz w:val="22"/>
          <w:szCs w:val="22"/>
          <w:i w:val="1"/>
          <w:iCs w:val="1"/>
          <w:color w:val="auto"/>
        </w:rPr>
        <w:t>plus</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80% of the Market Value at such time of all Eligible Commodities and Eligible Commodities (Unhedged and Proxy Hedged) that are subject to fixed price Eligible Purchase Agreements where the Purchasers are obligated to purchase Eligible Commodities or Eligible Commodities (Unhedged and Proxy Hedged) under such Eligible Purchase Agreement within a ninety (90) day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Market Value of Eligible Commodities and Eligible Commodities (Unhedged and Proxy Hedged) subject to Eligible Purchase Agreements with any one Purchaser and its Affiliates included in this clause (g) shall not exceed $10,000,000 at any time; </w:t>
      </w:r>
      <w:r>
        <w:rPr>
          <w:rFonts w:ascii="Times New Roman" w:cs="Times New Roman" w:eastAsia="Times New Roman" w:hAnsi="Times New Roman"/>
          <w:sz w:val="22"/>
          <w:szCs w:val="22"/>
          <w:i w:val="1"/>
          <w:iCs w:val="1"/>
          <w:color w:val="auto"/>
        </w:rPr>
        <w:t>plus</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(i) 70% of the Market Value at such time of (x) all Eligible Commodities (Unhedged and Proxy Hedged) and (y) all Eligible Commodities that are subject to fixed price Eligible Purchase Agreements but which are not included in clause (g) above; and (ii) $10,000,000; </w:t>
      </w:r>
      <w:r>
        <w:rPr>
          <w:rFonts w:ascii="Times New Roman" w:cs="Times New Roman" w:eastAsia="Times New Roman" w:hAnsi="Times New Roman"/>
          <w:sz w:val="22"/>
          <w:szCs w:val="22"/>
          <w:i w:val="1"/>
          <w:iCs w:val="1"/>
          <w:color w:val="auto"/>
        </w:rPr>
        <w:t>plus</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(i) with respect to any Eligible Commodities which are not Eligible Tier I Commodities or Eligible Tier II Commodities that are subject to Eligible Purchase Agreements, 60% of the lesser of (x) the Market Value at such time of such Eligible Commodities and (y) the amount of all obligations of the relevant Purchasers to purchase from the Borrower such Eligible Commodities, provided that the aggregate Market Values and purchase prices of Eligible Commodities subject to Eligible Purchase Agreements with any one Purchaser and its Affiliates included in this clause (i)(i) shall not exceed $10,000,000 at any time; and (ii) $10,000,000; </w:t>
      </w:r>
      <w:r>
        <w:rPr>
          <w:rFonts w:ascii="Times New Roman" w:cs="Times New Roman" w:eastAsia="Times New Roman" w:hAnsi="Times New Roman"/>
          <w:sz w:val="22"/>
          <w:szCs w:val="22"/>
          <w:i w:val="1"/>
          <w:iCs w:val="1"/>
          <w:color w:val="auto"/>
        </w:rPr>
        <w:t>plus</w:t>
      </w:r>
    </w:p>
    <w:p>
      <w:pPr>
        <w:spacing w:after="0" w:line="18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 (i) 60% of the Market Value at such time of Eligible Renewable Identification Numbers; and (ii)</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$2,000,000; </w:t>
      </w:r>
      <w:r>
        <w:rPr>
          <w:rFonts w:ascii="Times New Roman" w:cs="Times New Roman" w:eastAsia="Times New Roman" w:hAnsi="Times New Roman"/>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4" w:name="page175"/>
    <w:bookmarkEnd w:id="174"/>
    <w:p>
      <w:pPr>
        <w:jc w:val="both"/>
        <w:ind w:firstLine="1304"/>
        <w:spacing w:after="0" w:line="250" w:lineRule="auto"/>
        <w:tabs>
          <w:tab w:leader="none" w:pos="178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(i) 80% of the Market Value of Precious Metals at such time that are subject to Eligible Leases,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(x) the aggregate Market Value of Precious Metals subject to Eligible Leases with any one lessee that is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Investment Grade and its Affiliates included in this clause (k)(i) shall not exceed $10,000,000 at any time and (y) the aggregate Market Value of Precious Metals subject to Eligible Leases with any one lessee that is Investment Grade and its Affiliates included in this clause (k)(i) shall not exceed $15,000,000 at any time; and (ii) $30,000,000; </w:t>
      </w:r>
      <w:r>
        <w:rPr>
          <w:rFonts w:ascii="Times New Roman" w:cs="Times New Roman" w:eastAsia="Times New Roman" w:hAnsi="Times New Roman"/>
          <w:sz w:val="22"/>
          <w:szCs w:val="22"/>
          <w:i w:val="1"/>
          <w:iCs w:val="1"/>
          <w:color w:val="auto"/>
        </w:rPr>
        <w:t>plus</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80% of the Market Value at such time of all Eligible In-Transit Commodities (Afloat or Pipeline) which are Eligible Tier I Commodities or Eligible Tier II Commodities;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Eligible In-Transit Commodities (Afloat or Pipeline) described in clause (a)(ii)(x) of the definition of “Eligible In-Transit Commodities (Afloat or Pipeline)” which are covered by a trust receipt as described in clause (b)(B)(iii) of the definition of “Eligible In-Transit Commodities”, (i) such advance rate shall be 60% of the Market Value and (ii) in no event shall the amount in respect thereof included in the Borrowing Base exceed 15% of the Borrowing Base at any time; </w:t>
      </w:r>
      <w:r>
        <w:rPr>
          <w:rFonts w:ascii="Times New Roman" w:cs="Times New Roman" w:eastAsia="Times New Roman" w:hAnsi="Times New Roman"/>
          <w:sz w:val="22"/>
          <w:szCs w:val="22"/>
          <w:i w:val="1"/>
          <w:iCs w:val="1"/>
          <w:color w:val="auto"/>
        </w:rPr>
        <w:t>plus</w:t>
      </w:r>
    </w:p>
    <w:p>
      <w:pPr>
        <w:spacing w:after="0" w:line="186" w:lineRule="exact"/>
        <w:rPr>
          <w:rFonts w:ascii="Times New Roman" w:cs="Times New Roman" w:eastAsia="Times New Roman" w:hAnsi="Times New Roman"/>
          <w:sz w:val="22"/>
          <w:szCs w:val="22"/>
          <w:color w:val="auto"/>
        </w:rPr>
      </w:pPr>
    </w:p>
    <w:p>
      <w:pPr>
        <w:jc w:val="both"/>
        <w:ind w:right="20" w:firstLine="1304"/>
        <w:spacing w:after="0" w:line="266" w:lineRule="auto"/>
        <w:tabs>
          <w:tab w:leader="none" w:pos="186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70% of the Market Value at such time of all Eligible In-Transit Commodities (Truck, Barge or Rail) which are Eligible Tier I Commodities or Eligible Tier II Commodities,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this clause (m) and clause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below included in the Borrowing Base at any time shall not exceed $20,000,000; </w:t>
      </w:r>
      <w:r>
        <w:rPr>
          <w:rFonts w:ascii="Times New Roman" w:cs="Times New Roman" w:eastAsia="Times New Roman" w:hAnsi="Times New Roman"/>
          <w:sz w:val="22"/>
          <w:szCs w:val="22"/>
          <w:i w:val="1"/>
          <w:iCs w:val="1"/>
          <w:color w:val="auto"/>
        </w:rPr>
        <w:t>plus</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(i) 50% of the Market Value at such time of all Other Eligible In-Transit Commodities; and (ii) $5,000,000,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this clause (n) and clause (m) above included in the Borrowing Base at any time shall not exceed $20,000,000; </w:t>
      </w:r>
      <w:r>
        <w:rPr>
          <w:rFonts w:ascii="Times New Roman" w:cs="Times New Roman" w:eastAsia="Times New Roman" w:hAnsi="Times New Roman"/>
          <w:sz w:val="22"/>
          <w:szCs w:val="22"/>
          <w:i w:val="1"/>
          <w:iCs w:val="1"/>
          <w:color w:val="auto"/>
        </w:rPr>
        <w:t>plus</w:t>
      </w:r>
    </w:p>
    <w:p>
      <w:pPr>
        <w:spacing w:after="0" w:line="16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75% of Eligible Letters of Credit Issued for Commodities Not Yet Received; </w:t>
      </w:r>
      <w:r>
        <w:rPr>
          <w:rFonts w:ascii="Times New Roman" w:cs="Times New Roman" w:eastAsia="Times New Roman" w:hAnsi="Times New Roman"/>
          <w:sz w:val="22"/>
          <w:szCs w:val="22"/>
          <w:i w:val="1"/>
          <w:iCs w:val="1"/>
          <w:color w:val="auto"/>
        </w:rPr>
        <w:t>plus</w:t>
      </w:r>
    </w:p>
    <w:p>
      <w:pPr>
        <w:spacing w:after="0" w:line="22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2"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80% of OTC Commodity Contract Equity of the Borrower with respect to OTC Commodity Contracts for Qualified Commodities, if positive, provided that the aggregate OTC Commodity Contract Equity with respect to OTC Commodity Contracts for which the Eligible OTC Counterparty is INTL FCStone Markets, LLC shall not at any time exceed $1,000,000 or (ii)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100% of OTC Commodity Contract Equity with respect to OTC Commodity Contracts for Qualified Commodities, if negative (in which case, for the avoidance of doubt, such amount shall operate as a deduction from the Borrowing Base); </w:t>
      </w:r>
      <w:r>
        <w:rPr>
          <w:rFonts w:ascii="Times New Roman" w:cs="Times New Roman" w:eastAsia="Times New Roman" w:hAnsi="Times New Roman"/>
          <w:sz w:val="22"/>
          <w:szCs w:val="22"/>
          <w:i w:val="1"/>
          <w:iCs w:val="1"/>
          <w:color w:val="auto"/>
        </w:rPr>
        <w:t>plus</w:t>
      </w:r>
    </w:p>
    <w:p>
      <w:pPr>
        <w:spacing w:after="0" w:line="18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lesser of (i) 65% of (x) Forward Contract Equity, if positive, and (y) the Merchants Plus Swap Contract Equity, if positive,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included in this clause (q)(i)(x) with respect to the Merchants Plus Program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aggregate amount included in clause (q)(i)(y) shall not at any time exceed $15,000,000,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aggregate amount included in this clause (q)(i): (A) relating to Forward Contracts and Merchants Plus Swap Contracts pursuant to which delivery is to be made more than twelve (12) months (but less than twenty-four (24) months) after the date of determination shall not exceed $5,000,000; (B) relating to any one counterparty that is Investment Grade and its Affiliates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5" w:name="page176"/>
    <w:bookmarkEnd w:id="17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 exceed $25,000,000 at any time, (C) relating to any one counterparty that is not Investment Grade and its Affiliates shall not exceed $10,000,000 at any time and (D) relating to counterparties located or domiciled in countries that do not have a sovereign credit rating from S&amp;P of at least BBB- (I) shall not exceed $5,000,000 at any time and (II) shall relate to Forward Contracts and Merchants Plus Swap Contracts pursuant to which delivery is to be made no more than ninety 90 days after the date of determination; and (ii) $40,000,000; </w:t>
      </w:r>
      <w:r>
        <w:rPr>
          <w:rFonts w:ascii="Times New Roman" w:cs="Times New Roman" w:eastAsia="Times New Roman" w:hAnsi="Times New Roman"/>
          <w:sz w:val="22"/>
          <w:szCs w:val="22"/>
          <w:i w:val="1"/>
          <w:iCs w:val="1"/>
          <w:color w:val="auto"/>
        </w:rPr>
        <w:t>minus</w:t>
      </w:r>
    </w:p>
    <w:p>
      <w:pPr>
        <w:spacing w:after="0" w:line="181" w:lineRule="exact"/>
        <w:rPr>
          <w:sz w:val="20"/>
          <w:szCs w:val="20"/>
          <w:color w:val="auto"/>
        </w:rPr>
      </w:pPr>
    </w:p>
    <w:p>
      <w:pPr>
        <w:jc w:val="both"/>
        <w:ind w:firstLine="1304"/>
        <w:spacing w:after="0" w:line="257" w:lineRule="auto"/>
        <w:tabs>
          <w:tab w:leader="none" w:pos="18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 of any accounts payable of any Loan Party (other than Holdings) which are subject to any statutory Lien, including any amounts paid by any Loan Party (other than Holdings) to any grower or farmer for the purchase of any commodities from such Persons grower payables and any warehouse payables; </w:t>
      </w:r>
      <w:r>
        <w:rPr>
          <w:rFonts w:ascii="Times New Roman" w:cs="Times New Roman" w:eastAsia="Times New Roman" w:hAnsi="Times New Roman"/>
          <w:sz w:val="22"/>
          <w:szCs w:val="22"/>
          <w:i w:val="1"/>
          <w:iCs w:val="1"/>
          <w:color w:val="auto"/>
        </w:rPr>
        <w:t>minus</w:t>
      </w:r>
    </w:p>
    <w:p>
      <w:pPr>
        <w:spacing w:after="0" w:line="168"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 of all prepayments from Borrower’s customers; </w:t>
      </w:r>
      <w:r>
        <w:rPr>
          <w:rFonts w:ascii="Times New Roman" w:cs="Times New Roman" w:eastAsia="Times New Roman" w:hAnsi="Times New Roman"/>
          <w:sz w:val="22"/>
          <w:szCs w:val="22"/>
          <w:i w:val="1"/>
          <w:iCs w:val="1"/>
          <w:color w:val="auto"/>
        </w:rPr>
        <w:t>minus</w:t>
      </w:r>
    </w:p>
    <w:p>
      <w:pPr>
        <w:spacing w:after="0" w:line="22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all Secured Obligations consisting of Hedging Liability owing by any Loan Party;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 the Administrative Agent shall have the right upon five (5) Business Days’ notice to the Borrower to reduce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foregoing advance rates in its reasonable discretion based on results from any field audit or appraisal of the Collateral, (ii) the Borrowing Base shall be computed only as against and on so much of such Collateral as is included on a Borrowing Base Certificate furnished from time to time by the Borrower pursuant to this Agreement and, if required by the Administrative Agent pursuant to any of the terms hereof or any Collateral Document, as verified by such other evidence reasonably required to be furnished to the Administrative Agent pursuant hereto or pursuant to any such Collateral Document, (iii) all Eligible Commodities and other inventory included in the Borrowing Base shall be located in an Approved Jurisdiction, and (iv) the aggregate Market Value of Eligible Commodities included in the Borrowing Base pursuant to clauses (e), (f), (g), (h), (i), (j), (k),</w:t>
      </w:r>
    </w:p>
    <w:p>
      <w:pPr>
        <w:spacing w:after="0" w:line="3" w:lineRule="exact"/>
        <w:rPr>
          <w:sz w:val="20"/>
          <w:szCs w:val="20"/>
          <w:color w:val="auto"/>
        </w:rPr>
      </w:pPr>
    </w:p>
    <w:p>
      <w:pPr>
        <w:jc w:val="both"/>
        <w:ind w:firstLine="8"/>
        <w:spacing w:after="0" w:line="245" w:lineRule="auto"/>
        <w:tabs>
          <w:tab w:leader="none" w:pos="3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(n) above (x) which are located in any jurisdiction other than the United States of America or Canada shall not at any time exceed $50,000,000 and (y) which are located in any single country (other than the United States of America or Canada) shall not at any time exceed $20,000,000.</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“Borrowing Base Certificate” </w:t>
      </w:r>
      <w:r>
        <w:rPr>
          <w:rFonts w:ascii="Times New Roman" w:cs="Times New Roman" w:eastAsia="Times New Roman" w:hAnsi="Times New Roman"/>
          <w:sz w:val="22"/>
          <w:szCs w:val="22"/>
          <w:color w:val="auto"/>
        </w:rPr>
        <w:t>means a certificate evidencing the Borrowing Base in the form of Exhibit G attached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or such other form acceptable to the Administrative Agent.</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any day (other than a Saturday or Sunday) on which banks are not authorized or required to close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New York, New York and, if the applicable Business Day relates to the advance or continuation of, or conversion into, or payment of a Eurodollar Loan, on which banks are dealing in U.S. Dollar deposits in the interbank eurodollar market in London, England and Nassau, Bahamas.</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“Capital Lease” </w:t>
      </w:r>
      <w:r>
        <w:rPr>
          <w:rFonts w:ascii="Times New Roman" w:cs="Times New Roman" w:eastAsia="Times New Roman" w:hAnsi="Times New Roman"/>
          <w:sz w:val="22"/>
          <w:szCs w:val="22"/>
          <w:color w:val="auto"/>
        </w:rPr>
        <w:t>means any lease of Property which in accordance with GAAP is required to be capitalized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balance sheet of the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6" w:name="page177"/>
    <w:bookmarkEnd w:id="176"/>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“Capitalized Lease Obligation” </w:t>
      </w:r>
      <w:r>
        <w:rPr>
          <w:rFonts w:ascii="Times New Roman" w:cs="Times New Roman" w:eastAsia="Times New Roman" w:hAnsi="Times New Roman"/>
          <w:sz w:val="22"/>
          <w:szCs w:val="22"/>
          <w:color w:val="auto"/>
        </w:rPr>
        <w:t>means, for any Person, the amount of the liability shown on the balance sheet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in respect of a Capital Lease determined in accordance with GAAP.</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“Cash Collateralize” </w:t>
      </w:r>
      <w:r>
        <w:rPr>
          <w:rFonts w:ascii="Times New Roman" w:cs="Times New Roman" w:eastAsia="Times New Roman" w:hAnsi="Times New Roman"/>
          <w:sz w:val="22"/>
          <w:szCs w:val="22"/>
          <w:color w:val="auto"/>
        </w:rPr>
        <w:t>means, to pledge and deposit with or deliver to the Administrative Agent, for the benefit of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more of the L/C Issuer or Lenders, as collateral for L/C Obligations or obligations of Lenders to fund participations in respect of L/C Obligations, cash or deposit account balances subject to a first priority perfected security interest in favor of the Administrative Agent or, if the Administrative Agent and each applicable L/C Issuer shall agree in their sole discretion, other credit support, in each case pursuant to documentation in form and substance satisfactory to the Administrative Agent and each applicable L/C Issuer. </w:t>
      </w:r>
      <w:r>
        <w:rPr>
          <w:rFonts w:ascii="Times New Roman" w:cs="Times New Roman" w:eastAsia="Times New Roman" w:hAnsi="Times New Roman"/>
          <w:sz w:val="22"/>
          <w:szCs w:val="22"/>
          <w:i w:val="1"/>
          <w:iCs w:val="1"/>
          <w:color w:val="auto"/>
        </w:rPr>
        <w:t>“Cash Collateral”</w:t>
      </w:r>
      <w:r>
        <w:rPr>
          <w:rFonts w:ascii="Times New Roman" w:cs="Times New Roman" w:eastAsia="Times New Roman" w:hAnsi="Times New Roman"/>
          <w:sz w:val="22"/>
          <w:szCs w:val="22"/>
          <w:color w:val="auto"/>
        </w:rPr>
        <w:t xml:space="preserve"> shall have a meaning correlative to the foregoing and shall include the proceeds of such cash collateral and other credit support.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“Certified Merchant” </w:t>
      </w:r>
      <w:r>
        <w:rPr>
          <w:rFonts w:ascii="Times New Roman" w:cs="Times New Roman" w:eastAsia="Times New Roman" w:hAnsi="Times New Roman"/>
          <w:sz w:val="21"/>
          <w:szCs w:val="21"/>
          <w:color w:val="auto"/>
        </w:rPr>
        <w:t>means a Person that (a) is located within the United States of America or any other jurisdiction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approved by the Administrative Agent; (b) is not the subject of dissolution, liquidation, reorganization, receivership or bankruptcy proceedings or has not gone out of business; and (c) satisfies the procedures and requirements set forth in the Credit and Collection Policy and the Market Risk Policy (including the approved credit limits set forth therein) and is in compliance with applicable “know your customer” and anti-money laundering rules and regulations, including without limitation, the Act.</w:t>
      </w:r>
    </w:p>
    <w:p>
      <w:pPr>
        <w:spacing w:after="0" w:line="16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“Change in Law” </w:t>
      </w:r>
      <w:r>
        <w:rPr>
          <w:rFonts w:ascii="Times New Roman" w:cs="Times New Roman" w:eastAsia="Times New Roman" w:hAnsi="Times New Roman"/>
          <w:sz w:val="22"/>
          <w:szCs w:val="22"/>
          <w:color w:val="auto"/>
        </w:rPr>
        <w:t>means the occurrence, after the date of this Agreement, of any of the following: (a) the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of America or foreign regulatory authorities, in each case pursuant to Basel III, shall in each case be deemed to be a “Change in Law”, regardless of the date enacted, adopted or issued.</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any of (a) the acquisition by any</w:t>
      </w:r>
      <w:r>
        <w:rPr>
          <w:rFonts w:ascii="Times New Roman" w:cs="Times New Roman" w:eastAsia="Times New Roman" w:hAnsi="Times New Roman"/>
          <w:sz w:val="22"/>
          <w:szCs w:val="22"/>
          <w:i w:val="1"/>
          <w:iCs w:val="1"/>
          <w:color w:val="auto"/>
        </w:rPr>
        <w:t xml:space="preserve"> “person”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“group” </w:t>
      </w:r>
      <w:r>
        <w:rPr>
          <w:rFonts w:ascii="Times New Roman" w:cs="Times New Roman" w:eastAsia="Times New Roman" w:hAnsi="Times New Roman"/>
          <w:sz w:val="22"/>
          <w:szCs w:val="22"/>
          <w:color w:val="auto"/>
        </w:rPr>
        <w:t>(as such terms are used in Sections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13(d) and 14(d) of the Securities Exchange Act of 1934, as amended) at any time of beneficial ownership of 30% or more of the outstanding capital stock or other equity interests of Holdings on a fully-diluted basis, other than acquisitions of such interests by the Permitted Holders, (b) Holdings ceases to own, directly or indirectly, 100% of the Voting Stock of the Borrower, (c) Holdings fails to have the right to appoint or approve a majority of the board of directors (or similar governing body) of the Borrower, (d) any “Change of Control” (or words of like import), as defined in any agreement or indenture relating to any issue of Indebtedness for Borrowed Money of Holdings in excess of $10,000,000, shall occur,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77" w:name="page178"/>
    <w:bookmarkEnd w:id="177"/>
    <w:p>
      <w:pPr>
        <w:ind w:right="20" w:firstLine="8"/>
        <w:spacing w:after="0" w:line="271" w:lineRule="auto"/>
        <w:tabs>
          <w:tab w:leader="none" w:pos="3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(or words of like import), as defined in any agreement or indenture relating to any issue of Indebtedness for Borrowed Money of the Borrower or any Borrower Subsidiary in excess of $500,000, shall occur.</w:t>
      </w:r>
    </w:p>
    <w:p>
      <w:pPr>
        <w:spacing w:after="0" w:line="15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date of this Agreement or such later Business Day upon which each condition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7.2 shall be satisfied or waived in a manner acceptable to the Administrative Agent in its discretion.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statute thereto.</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all properties, rights, interests, and privileges from time to time subject to the Liens granted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security trustee therefor, by the Collateral Documents.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“Collateral Account” </w:t>
      </w:r>
      <w:r>
        <w:rPr>
          <w:rFonts w:ascii="Times New Roman" w:cs="Times New Roman" w:eastAsia="Times New Roman" w:hAnsi="Times New Roman"/>
          <w:sz w:val="22"/>
          <w:szCs w:val="22"/>
          <w:color w:val="auto"/>
        </w:rPr>
        <w:t>is defined in Section 9.4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“Collateral Documents” </w:t>
      </w:r>
      <w:r>
        <w:rPr>
          <w:rFonts w:ascii="Times New Roman" w:cs="Times New Roman" w:eastAsia="Times New Roman" w:hAnsi="Times New Roman"/>
          <w:sz w:val="22"/>
          <w:szCs w:val="22"/>
          <w:color w:val="auto"/>
        </w:rPr>
        <w:t>means the Security Agreement, and all other mortgages, deeds of trust, security agreements,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pledge agreements, assignments, financing statements and other documents as shall from time to time secure or relate to the Obligations, and the Funds Transfer and Deposit Account Liability or any part thereof.</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the Revolving Commitment.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“Connection Income Taxes” </w:t>
      </w:r>
      <w:r>
        <w:rPr>
          <w:rFonts w:ascii="Times New Roman" w:cs="Times New Roman" w:eastAsia="Times New Roman" w:hAnsi="Times New Roman"/>
          <w:sz w:val="22"/>
          <w:szCs w:val="22"/>
          <w:color w:val="auto"/>
        </w:rPr>
        <w:t>means Other Connection Taxes that are imposed on or measured by net income (however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denominated) or that are franchise Taxes or branch profit Taxes.</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“Controlled Group” </w:t>
      </w:r>
      <w:r>
        <w:rPr>
          <w:rFonts w:ascii="Times New Roman" w:cs="Times New Roman" w:eastAsia="Times New Roman" w:hAnsi="Times New Roman"/>
          <w:sz w:val="22"/>
          <w:szCs w:val="22"/>
          <w:color w:val="auto"/>
        </w:rPr>
        <w:t>means all members of a controlled group of corporations and all trades or businesses (whether or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incorporated) under common control which, together with the Borrower, are treated as a single employer under Section 414 of the Code.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“Credit” </w:t>
      </w:r>
      <w:r>
        <w:rPr>
          <w:rFonts w:ascii="Times New Roman" w:cs="Times New Roman" w:eastAsia="Times New Roman" w:hAnsi="Times New Roman"/>
          <w:sz w:val="22"/>
          <w:szCs w:val="22"/>
          <w:color w:val="auto"/>
        </w:rPr>
        <w:t>means the credit facility for making Loans and issuing Letters of Credit described in Section 1.1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“Credit and Collection Policy” </w:t>
      </w:r>
      <w:r>
        <w:rPr>
          <w:rFonts w:ascii="Times New Roman" w:cs="Times New Roman" w:eastAsia="Times New Roman" w:hAnsi="Times New Roman"/>
          <w:sz w:val="22"/>
          <w:szCs w:val="22"/>
          <w:color w:val="auto"/>
        </w:rPr>
        <w:t>means the credit and collection policy of Holdings and its Subsidiaries dated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February 18, 2015 heretofore delivered to the Administrative Agent, as such policy may hereafter be amended, modified or supplemented from time to time in accordance with this Agreement.</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“Credit Event” </w:t>
      </w:r>
      <w:r>
        <w:rPr>
          <w:rFonts w:ascii="Times New Roman" w:cs="Times New Roman" w:eastAsia="Times New Roman" w:hAnsi="Times New Roman"/>
          <w:sz w:val="22"/>
          <w:szCs w:val="22"/>
          <w:color w:val="auto"/>
        </w:rPr>
        <w:t>means the advancing of any Loan, or the issuance of, or extension of the expiration date or increase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78" w:name="page179"/>
    <w:bookmarkEnd w:id="178"/>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“Debtor Relief Laws” </w:t>
      </w:r>
      <w:r>
        <w:rPr>
          <w:rFonts w:ascii="Times New Roman" w:cs="Times New Roman" w:eastAsia="Times New Roman" w:hAnsi="Times New Roman"/>
          <w:sz w:val="22"/>
          <w:szCs w:val="22"/>
          <w:color w:val="auto"/>
        </w:rPr>
        <w:t>means the Bankruptcy Code of the United States of America, and all other liquidation,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or condition the occurrence of which would, with the passage of time or the giving of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both, constitute an Event of Default.</w:t>
      </w:r>
    </w:p>
    <w:p>
      <w:pPr>
        <w:spacing w:after="0" w:line="14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“Defaulting Lender” </w:t>
      </w:r>
      <w:r>
        <w:rPr>
          <w:rFonts w:ascii="Times New Roman" w:cs="Times New Roman" w:eastAsia="Times New Roman" w:hAnsi="Times New Roman"/>
          <w:sz w:val="22"/>
          <w:szCs w:val="22"/>
          <w:color w:val="auto"/>
        </w:rPr>
        <w:t>means, subject to Section 1.12(b), any Lender that (a) has failed to (i) fund all or any portion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(other than the appointment of a receiver, custodian, conservator, trustee, administrator or similar Person by a regulatory authority under or based on the law in the country where such Lender or such parent company is subject to home jurisdiction, if applicable law requires that such appointment not be disclosed), or (iii) become the subject of a Bail-in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79" w:name="page180"/>
    <w:bookmarkEnd w:id="179"/>
    <w:p>
      <w:pPr>
        <w:jc w:val="both"/>
        <w:spacing w:after="0" w:line="271" w:lineRule="auto"/>
        <w:rPr>
          <w:sz w:val="20"/>
          <w:szCs w:val="20"/>
          <w:color w:val="auto"/>
        </w:rPr>
      </w:pPr>
      <w:r>
        <w:rPr>
          <w:rFonts w:ascii="Times New Roman" w:cs="Times New Roman" w:eastAsia="Times New Roman" w:hAnsi="Times New Roman"/>
          <w:sz w:val="22"/>
          <w:szCs w:val="22"/>
          <w:color w:val="auto"/>
        </w:rPr>
        <w:t>be deemed to be a Defaulting Lender (subject to Section 1.12(b)) upon delivery of written notice of such determination to the Borrower and each Lender.</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“Designated Disbursement Account” </w:t>
      </w:r>
      <w:r>
        <w:rPr>
          <w:rFonts w:ascii="Times New Roman" w:cs="Times New Roman" w:eastAsia="Times New Roman" w:hAnsi="Times New Roman"/>
          <w:sz w:val="22"/>
          <w:szCs w:val="22"/>
          <w:color w:val="auto"/>
        </w:rPr>
        <w:t>means the account of the Borrower maintained with a financial institution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acceptable to the Administrative Agent and designated in writing to the Administrative Agent as the Borrower’s Designated Disbursement Account (or such other account as the Borrower and the Administrative Agent may otherwise agree).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“Domestic Borrower Subsidiary” </w:t>
      </w:r>
      <w:r>
        <w:rPr>
          <w:rFonts w:ascii="Times New Roman" w:cs="Times New Roman" w:eastAsia="Times New Roman" w:hAnsi="Times New Roman"/>
          <w:sz w:val="22"/>
          <w:szCs w:val="22"/>
          <w:color w:val="auto"/>
        </w:rPr>
        <w:t>means a Borrower Subsidiary that is not a Foreign Borrower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“Early Opt-in Election</w:t>
      </w:r>
      <w:r>
        <w:rPr>
          <w:rFonts w:ascii="Times New Roman" w:cs="Times New Roman" w:eastAsia="Times New Roman" w:hAnsi="Times New Roman"/>
          <w:sz w:val="22"/>
          <w:szCs w:val="22"/>
          <w:color w:val="auto"/>
        </w:rPr>
        <w:t>” means the occurrence of:</w:t>
      </w:r>
    </w:p>
    <w:p>
      <w:pPr>
        <w:spacing w:after="0" w:line="116" w:lineRule="exact"/>
        <w:rPr>
          <w:sz w:val="20"/>
          <w:szCs w:val="20"/>
          <w:color w:val="auto"/>
        </w:rPr>
      </w:pPr>
    </w:p>
    <w:p>
      <w:pPr>
        <w:jc w:val="both"/>
        <w:ind w:left="660" w:firstLine="644"/>
        <w:spacing w:after="0" w:line="250"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 are being executed or amended, as applicable, to incorporate or adopt a new benchmark interest rate to replace the LIBOR Index Rate, and</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“Eligible Assignee” </w:t>
      </w:r>
      <w:r>
        <w:rPr>
          <w:rFonts w:ascii="Times New Roman" w:cs="Times New Roman" w:eastAsia="Times New Roman" w:hAnsi="Times New Roman"/>
          <w:sz w:val="21"/>
          <w:szCs w:val="21"/>
          <w:color w:val="auto"/>
        </w:rPr>
        <w:t>means (a) a Lender, (b) an Affiliate of a Lender, (c) an Approved Fund, and (d) any other Person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 than a natural person) approved by (i) the Administrative Agent, (ii) the L/C Issuer as provided for in Section 13.12 hereof, and (iii) unless an Event of Default has occurred and is continuing, the Borrower (each such approval not to be unreasonably withheld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the foregoing, “Eligible Assignee” shall not include the Borrower or any Guarantor or any of the Borrower’s or such Guarantor’s Affiliates or Subsidiaries (including Borrower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“Eligible Commodities” </w:t>
      </w:r>
      <w:r>
        <w:rPr>
          <w:rFonts w:ascii="Times New Roman" w:cs="Times New Roman" w:eastAsia="Times New Roman" w:hAnsi="Times New Roman"/>
          <w:sz w:val="22"/>
          <w:szCs w:val="22"/>
          <w:color w:val="auto"/>
        </w:rPr>
        <w:t>means any Qualified Commodity which:</w:t>
      </w:r>
    </w:p>
    <w:p>
      <w:pPr>
        <w:spacing w:after="0" w:line="224" w:lineRule="exact"/>
        <w:rPr>
          <w:sz w:val="20"/>
          <w:szCs w:val="20"/>
          <w:color w:val="auto"/>
        </w:rPr>
      </w:pPr>
    </w:p>
    <w:p>
      <w:pPr>
        <w:jc w:val="both"/>
        <w:ind w:left="660" w:firstLine="644"/>
        <w:spacing w:after="0" w:line="250"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asset of the Borrower to which it has good and marketable title, is freely assignable, and is subject to a perfected, first priority Lien satisfactory to the Administrative Agent and pursuant to such documentation (including legal opinions) as the Administrative Agent under applicable law (including the laws of the jurisdiction in which such Qualified Commodity is located) may reasonably request in favor of the Administrative Agent free and clear of any other Liens;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ownership for the type of Qualified Commodity is evidenced by a document of title, such Qualified Commodity is covered by a negotiable tangible document of title (including a tangible warehouse receipt) or an Eligible Electronic Warehouse Receipt and, in the case such Qualified Commodity located within the United States of America, is in the Borrower’s or the Administrative Agent’s possession, and in the case of such Qualified Commodity located outside the United States of America, is in the Administrative Agent’s possession, with all necessary endorsements (or is subject to an Agreement to Pledge or a Trust Receipt);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5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ownership for this type of Qualified Commodity is not evidenced by a tangible document of title issued or negotiated to the Borrower or an Eligible Electronic Warehouse Receipt, such Qualified Commodity is subject to a storage agreement that is in form and substance acceptable to the Administrative Agent, and such storage agreement has been collaterally assigned to the Administrative Agent in a manner acceptable to the Administrative Agent;</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Qualified Commodity is subject to an Agreement to Pledge, then the Borrower shall have delivered an original tangible document of title with all necessary endorsements no later than one (1) Business Day after the Administrative Agent has advanced a Loan in reliance upon such Agreement to Pledge;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Qualified Commodity is subject to a Trust Receipt, then no more than twenty (20) days (or forty-five (45) days with respect to cotton) have elapsed since the tangible warehouse receipts or such other document of title subject to such Trust Receipt was delivered to or otherwise obtained by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Market Value of Qualified Commodities subject to Trust Receipts shall not exceed 25% of the Market Value of such Qualified Commodities;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at location (i) that is licensed by a Governmental Authority or an exchange delivery point, (ii) where the average Market Value of Qualified Commodities at such location is less than $2.0 million during the nine (9) month period then ended, or (iii) that does not satisfy the requirements in clause (i) and (ii) above so long as (1) the Administrative Agent has received the results of an inspection conducted by a third party within the twelve (12) month period ending on the applicable date of determination (a “</w:t>
      </w:r>
      <w:r>
        <w:rPr>
          <w:rFonts w:ascii="Times New Roman" w:cs="Times New Roman" w:eastAsia="Times New Roman" w:hAnsi="Times New Roman"/>
          <w:sz w:val="22"/>
          <w:szCs w:val="22"/>
          <w:i w:val="1"/>
          <w:iCs w:val="1"/>
          <w:color w:val="auto"/>
        </w:rPr>
        <w:t>Location Inspection</w:t>
      </w:r>
      <w:r>
        <w:rPr>
          <w:rFonts w:ascii="Times New Roman" w:cs="Times New Roman" w:eastAsia="Times New Roman" w:hAnsi="Times New Roman"/>
          <w:sz w:val="22"/>
          <w:szCs w:val="22"/>
          <w:color w:val="auto"/>
        </w:rPr>
        <w:t>”), or (2) a Location Inspection is scheduled to be conducted (including delivery of the results of such Location Inspection) within the immediately following three (3) month period after such determination date (each such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81" w:name="page182"/>
    <w:bookmarkEnd w:id="181"/>
    <w:p>
      <w:pPr>
        <w:ind w:left="660"/>
        <w:spacing w:after="0" w:line="271" w:lineRule="auto"/>
        <w:rPr>
          <w:sz w:val="20"/>
          <w:szCs w:val="20"/>
          <w:color w:val="auto"/>
        </w:rPr>
      </w:pPr>
      <w:r>
        <w:rPr>
          <w:rFonts w:ascii="Times New Roman" w:cs="Times New Roman" w:eastAsia="Times New Roman" w:hAnsi="Times New Roman"/>
          <w:sz w:val="22"/>
          <w:szCs w:val="22"/>
          <w:color w:val="auto"/>
        </w:rPr>
        <w:t>Inspection and report delivered in connection therewith shall be in form and substance satisfactory to the Administrative Agent);</w:t>
      </w:r>
    </w:p>
    <w:p>
      <w:pPr>
        <w:spacing w:after="0" w:line="158" w:lineRule="exact"/>
        <w:rPr>
          <w:sz w:val="20"/>
          <w:szCs w:val="20"/>
          <w:color w:val="auto"/>
        </w:rPr>
      </w:pPr>
    </w:p>
    <w:p>
      <w:pPr>
        <w:ind w:left="660" w:right="20" w:firstLine="644"/>
        <w:spacing w:after="0" w:line="271" w:lineRule="auto"/>
        <w:tabs>
          <w:tab w:leader="none" w:pos="19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subject to a Hedging Agreement in an equal amount to such Qualified Commodity and such Hedging Agreement is maintained in an Eligible Hedging Account;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five (5) Business Days prior written notice to the Borrower or any Subsidiary any such commodity may be deemed ineligible by the Administrative Agent acting in its reasonable judgment);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4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located in an Approved Jurisdiction and, except in the case of Qualified Commodities located in the United States of America, is held at a warehouse or storage site approved by the Administrative Agent in its sole discretion with such counterparties and subject to such insurance and other requirements as the Administrative Agent may reasonably request.</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“Eligible Commodities (Unhedged and Proxy Hedged)” </w:t>
      </w:r>
      <w:r>
        <w:rPr>
          <w:rFonts w:ascii="Times New Roman" w:cs="Times New Roman" w:eastAsia="Times New Roman" w:hAnsi="Times New Roman"/>
          <w:sz w:val="22"/>
          <w:szCs w:val="22"/>
          <w:color w:val="auto"/>
        </w:rPr>
        <w:t>means all Qualified Commodities owned by the Borrower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would be Eligible Commodities but do not satisfy clause (g) of the defined term </w:t>
      </w:r>
      <w:r>
        <w:rPr>
          <w:rFonts w:ascii="Times New Roman" w:cs="Times New Roman" w:eastAsia="Times New Roman" w:hAnsi="Times New Roman"/>
          <w:sz w:val="22"/>
          <w:szCs w:val="22"/>
          <w:i w:val="1"/>
          <w:iCs w:val="1"/>
          <w:color w:val="auto"/>
        </w:rPr>
        <w:t>“Eligible Commodities”</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“Eligible Electronic Warehouse Receipt” </w:t>
      </w:r>
      <w:r>
        <w:rPr>
          <w:rFonts w:ascii="Times New Roman" w:cs="Times New Roman" w:eastAsia="Times New Roman" w:hAnsi="Times New Roman"/>
          <w:sz w:val="21"/>
          <w:szCs w:val="21"/>
          <w:color w:val="auto"/>
        </w:rPr>
        <w:t>means either (a) a warehouse receipt that satisfies all of the following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conditions: (i) is an “electronic warehouse receipt” within the meaning of 7 C.F.R. Sec. 735.3, (ii) is issued and maintained through an Approved Provider at which Administrative Agent maintains an account for delivery of electronic warehouse receipts, and (iii) has been credited, in the case of electronic warehouse receipts in the United States of America, to the Borrower’s or Administrative Agent’s account, and in the case of electronic warehouse receipts outside of the United States of America, to the Administrative Agent’s account, and the Borrower or Administrative Agent, as applicable, has the right to cause a further transfer of such electronic warehouse receipt within the central filing system of the Approved Provider and (b) any other electronic document of title provided by an Approved Provider that has been approved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such electronic warehouse receipt credited to the Borrower’s account, the Administrative Agent shall have access to such account for informational purposes or otherwise has access to information regarding the contents and activities of such account satisfactory to the Administrative Agent and, to the extent consistent with the policies and offerings of any Approved Provider, the Borrower has granted to the Administrative Agent a springing power of attorney and such other documentation as the Administrative Agent shall reasonably request which permits the Administrative Agent to take control of such electronic warehouse receipt upon the occurrence of an Event of Default, in form and substance satisfactory to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“Eligible Hedging Account” </w:t>
      </w:r>
      <w:r>
        <w:rPr>
          <w:rFonts w:ascii="Times New Roman" w:cs="Times New Roman" w:eastAsia="Times New Roman" w:hAnsi="Times New Roman"/>
          <w:sz w:val="22"/>
          <w:szCs w:val="22"/>
          <w:color w:val="auto"/>
        </w:rPr>
        <w:t>means a Hedging Account which:</w:t>
      </w:r>
    </w:p>
    <w:p>
      <w:pPr>
        <w:spacing w:after="0" w:line="224" w:lineRule="exact"/>
        <w:rPr>
          <w:sz w:val="20"/>
          <w:szCs w:val="20"/>
          <w:color w:val="auto"/>
        </w:rPr>
      </w:pPr>
    </w:p>
    <w:p>
      <w:pPr>
        <w:ind w:left="660" w:firstLine="644"/>
        <w:spacing w:after="0" w:line="271" w:lineRule="auto"/>
        <w:tabs>
          <w:tab w:leader="none" w:pos="17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asset of the Borrower to which it has good and marketable title, is freely assignable, and is subject to a perfected, first priority Lien in favor of the Administrative Agent free and clear of any other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2" w:name="page183"/>
    <w:bookmarkEnd w:id="182"/>
    <w:p>
      <w:pPr>
        <w:jc w:val="both"/>
        <w:ind w:left="660" w:firstLine="644"/>
        <w:spacing w:after="0" w:line="250" w:lineRule="auto"/>
        <w:tabs>
          <w:tab w:leader="none" w:pos="195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maintained with an intermediary (as defined in the UCC) that meets the registration or exemption requirements of the Commodity Exchange Act and is acceptable to the Administrative Agent in its sole discretion, it being understood that the Administrative Agent may, at any time and for any reason, require that such Hedging Account be moved from one intermediary to another intermediary that is acceptable to the Administrative Agent in its sole discretion;</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7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subject to an account control agreement among the Borrower, the Administrative Agent, and the intermediary satisfactory in form and substance to the Administrative Agent;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five (5) Business Days prior written notice any such Hedging Account of the Borrower may be deemed ineligible by the Administrative Agent acting in its reasonable judgment).</w:t>
      </w:r>
    </w:p>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i w:val="1"/>
          <w:iCs w:val="1"/>
          <w:color w:val="auto"/>
        </w:rPr>
        <w:t xml:space="preserve">“Eligible In-Transit Commodities” </w:t>
      </w:r>
      <w:r>
        <w:rPr>
          <w:rFonts w:ascii="Times New Roman" w:cs="Times New Roman" w:eastAsia="Times New Roman" w:hAnsi="Times New Roman"/>
          <w:sz w:val="22"/>
          <w:szCs w:val="22"/>
          <w:color w:val="auto"/>
        </w:rPr>
        <w:t>means any Qualified Commodity that:</w:t>
      </w:r>
    </w:p>
    <w:p>
      <w:pPr>
        <w:spacing w:after="0" w:line="224" w:lineRule="exact"/>
        <w:rPr>
          <w:sz w:val="20"/>
          <w:szCs w:val="20"/>
          <w:color w:val="auto"/>
        </w:rPr>
      </w:pPr>
    </w:p>
    <w:p>
      <w:pPr>
        <w:jc w:val="both"/>
        <w:ind w:left="660" w:firstLine="644"/>
        <w:spacing w:after="0" w:line="257" w:lineRule="auto"/>
        <w:tabs>
          <w:tab w:leader="none" w:pos="176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 located in the United States of America or Canada or en route and (ii) either (x) in a container or in bulk and loaded clean on board onto an ocean vessel, in port or en route, (y) in a pipeline in the United States of America or Canada or (z) on a railcar, truck or barge;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5" w:lineRule="auto"/>
        <w:tabs>
          <w:tab w:leader="none" w:pos="20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 the case of Qualified Commodities described in clause (a)(ii)(y) above is evidenced by a pipeline/meter ticket issued by the applicable pipeline operator a copy of which has been delivered to the Administrative Agent; and (B) other than Qualified Commodities described in clause (a)(ii)(y) above is covered by either (i) a non-negotiable tangible document of title in the possession of the Administrative Agent or the Borrower, (ii) a negotiable tangible document of title (including a bill of lading) located in the United States of America in the Borrower’s possession, or a negotiable tangible document of title (including a bill of lading) located outside the United States of America in the Administrative Agent’s possession, with all necessary endorsements or is subject to an Agreement to Pledge or (iii) solely in the case of Qualified Commodities described in clause (a)(ii)(x) above, a trust receipt in form and substance acceptable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clause (iii), (I) no more than seven (7) days have elapsed since the applicable Qualified Commodities were loaded on board the applicable vessel, and (II) the aggregate amount of the applicable Qualified Commodities shall not exceed $15,000,000 at any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in the case of Qualified Commodities described in clause (a)(ii)(x) above, a copy of the applicable document of title or trust receipt shall have been delivered to the Administrative Agent and (II) in the case of Qualified Commodities described in clause (a)(ii)(z) above, a copy of the applicable document of title shall be delivered to the Administrative Agent promptly upon the Administrative Agent’s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3" w:name="page184"/>
    <w:bookmarkEnd w:id="183"/>
    <w:p>
      <w:pPr>
        <w:jc w:val="both"/>
        <w:ind w:left="660" w:firstLine="644"/>
        <w:spacing w:after="0" w:line="257" w:lineRule="auto"/>
        <w:tabs>
          <w:tab w:leader="none" w:pos="18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insured against casualty loss while in-transit and the Borrower has delivered to the Administrative Agent an insurance certificate naming the Administrative Agent as lender’s loss payable with respect to such physical commodity</w:t>
      </w:r>
      <w:r>
        <w:rPr>
          <w:rFonts w:ascii="Times New Roman" w:cs="Times New Roman" w:eastAsia="Times New Roman" w:hAnsi="Times New Roman"/>
          <w:sz w:val="22"/>
          <w:szCs w:val="22"/>
          <w:color w:val="0000FF"/>
        </w:rPr>
        <w: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specifically noted in clauses (a), (b) and (c) above, such Qualified Commodity otherwise satisfies the requirements set forth in the defined term </w:t>
      </w:r>
      <w:r>
        <w:rPr>
          <w:rFonts w:ascii="Times New Roman" w:cs="Times New Roman" w:eastAsia="Times New Roman" w:hAnsi="Times New Roman"/>
          <w:sz w:val="22"/>
          <w:szCs w:val="22"/>
          <w:i w:val="1"/>
          <w:iCs w:val="1"/>
          <w:color w:val="auto"/>
        </w:rPr>
        <w:t>“Eligible Commodities</w:t>
      </w:r>
      <w:r>
        <w:rPr>
          <w:rFonts w:ascii="Times New Roman" w:cs="Times New Roman" w:eastAsia="Times New Roman" w:hAnsi="Times New Roman"/>
          <w:sz w:val="22"/>
          <w:szCs w:val="22"/>
          <w:color w:val="auto"/>
        </w:rPr>
        <w:t>” and is not pledged to secure indebtedness permitted pursuant to Section 8.7(k) hereof,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three (3) Business Days prior written notice any such physical commodity may be deemed ineligible by the Administrative Agent acting in its reasonable judgment).</w:t>
      </w:r>
    </w:p>
    <w:p>
      <w:pPr>
        <w:spacing w:after="0" w:line="16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In-Transit Commodities (Afloat or Pipeline)</w:t>
      </w:r>
      <w:r>
        <w:rPr>
          <w:rFonts w:ascii="Times New Roman" w:cs="Times New Roman" w:eastAsia="Times New Roman" w:hAnsi="Times New Roman"/>
          <w:sz w:val="22"/>
          <w:szCs w:val="22"/>
          <w:color w:val="auto"/>
        </w:rPr>
        <w:t>” means Eligible In-Transit Commodities which are described in clauses (a)(ii)(x) or (a)(ii)(z) of the definition of Eligible In-Transit Commodities.</w:t>
      </w:r>
    </w:p>
    <w:p>
      <w:pPr>
        <w:spacing w:after="0" w:line="14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In-Transit Commodities (Truck, Barge or Rail)</w:t>
      </w:r>
      <w:r>
        <w:rPr>
          <w:rFonts w:ascii="Times New Roman" w:cs="Times New Roman" w:eastAsia="Times New Roman" w:hAnsi="Times New Roman"/>
          <w:sz w:val="22"/>
          <w:szCs w:val="22"/>
          <w:color w:val="auto"/>
        </w:rPr>
        <w:t>” means Eligible In-Transit Commodities which are described in clause (a)(ii)(z) of the definition of Eligible In-Transit Commodities.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Leases</w:t>
      </w:r>
      <w:r>
        <w:rPr>
          <w:rFonts w:ascii="Times New Roman" w:cs="Times New Roman" w:eastAsia="Times New Roman" w:hAnsi="Times New Roman"/>
          <w:sz w:val="22"/>
          <w:szCs w:val="22"/>
          <w:color w:val="auto"/>
        </w:rPr>
        <w:t>” means the lease of an Eligible Commodity consisting of Precious Metals:</w:t>
      </w:r>
    </w:p>
    <w:p>
      <w:pPr>
        <w:spacing w:after="0" w:line="224" w:lineRule="exact"/>
        <w:rPr>
          <w:sz w:val="20"/>
          <w:szCs w:val="20"/>
          <w:color w:val="auto"/>
        </w:rPr>
      </w:pPr>
    </w:p>
    <w:p>
      <w:pPr>
        <w:ind w:left="1760" w:hanging="456"/>
        <w:spacing w:after="0"/>
        <w:tabs>
          <w:tab w:leader="none" w:pos="1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Borrower has all of the right, title and interest of the lessor thereunder;</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3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lease is fully assignable and transferable by the Borrower without notice or consent and which prohibits assignment by the lessee thereof and provides that the lessee remains liable notwithstanding any subleasing;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lease is non-cancelable and provides that the lessee’s obligations thereunder are absolute and unconditional and which obligations are not, either pursuant to the terms of such lease or otherwise, subject to contingencies, defense, deduction, set-off, rebate, refund, reduction, credit, allowance, claim or counterclaim of any kind whatsoever and as to which no defenses, right or rescission, deductions, set-offs, rebates, refunds, reductions, credits, allowances, claims or counterclaims exist or have been asserted by the lessee;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lessee under such lease is responsible for all payments in connection therewith, including, but not limited to, payment of all taxes (including sales taxes), insurance and maintenance expenses and all other expenses pertaining to the assets subject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4" w:name="page185"/>
    <w:bookmarkEnd w:id="184"/>
    <w:p>
      <w:pPr>
        <w:ind w:left="1760" w:hanging="456"/>
        <w:spacing w:after="0"/>
        <w:tabs>
          <w:tab w:leader="none" w:pos="1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lease has fixed rental payments that are due not less frequently than monthly;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78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lease is the valid, binding and legally enforceable obligation of the lessee obligated thereon and such lessee (i) is not a Subsidiary or an Affiliate of the Borrower or any Guarantor, (ii) is not a shareholder, director, officer, or employee of the Borrower, any Guarantor or of any of their Subsidiaries, (iii) is not the United States of America, Canada or any state, province or political subdivision thereof, or any department, agency or instrumentality of any of the foregoing, unless the Assignment of Claims Act or any similar state or local statute, as the case may be, is complied with to the satisfaction of the Administrative Agent, (iv) is not a debtor under any proceeding under any Debtor Relief Law, (v) is not an assignor for the benefit of creditors, or (vi) has not sold all or substantially all of its assets or has otherwise ceased its operations;</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8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there exists no other default or event which, with the giving of notice or the passage of time or both, will result in the occurrence of a default of any obligation under such lease or any other lease with such lessee which would allow the Borrower thereunder to exercise any remedies on default after any notice or expiration of any applicable cure period;</w:t>
      </w:r>
    </w:p>
    <w:p>
      <w:pPr>
        <w:spacing w:after="0" w:line="179" w:lineRule="exact"/>
        <w:rPr>
          <w:rFonts w:ascii="Times New Roman" w:cs="Times New Roman" w:eastAsia="Times New Roman" w:hAnsi="Times New Roman"/>
          <w:sz w:val="22"/>
          <w:szCs w:val="22"/>
          <w:color w:val="auto"/>
        </w:rPr>
      </w:pPr>
    </w:p>
    <w:p>
      <w:pPr>
        <w:ind w:left="660" w:firstLine="644"/>
        <w:spacing w:after="0" w:line="295" w:lineRule="auto"/>
        <w:tabs>
          <w:tab w:leader="none" w:pos="177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such lease is not subject to any Lien other than the Lien in favor of the Administrative Agent on behalf of the Lenders, and in which the Administrative Agent has a duly perfected first priority security interest under the UCC;</w:t>
      </w:r>
    </w:p>
    <w:p>
      <w:pPr>
        <w:spacing w:after="0" w:line="135"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88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lease constitutes “tangible chattel paper” (as defined in the UCC) and either (A) has been delivered to the Administrative Agent (together with any endorsements or instruments of transfer requested by the Administrative Agent therefor) or (B) is being held by the Borrower in trust for the Administrative Agent in a segregated storage container that has been conspicuously marked with a written legend satisfactory to the Administrative Agent as being subject to the Administrative Agent’s Lien;</w:t>
      </w:r>
    </w:p>
    <w:p>
      <w:pPr>
        <w:spacing w:after="0" w:line="180" w:lineRule="exact"/>
        <w:rPr>
          <w:rFonts w:ascii="Times New Roman" w:cs="Times New Roman" w:eastAsia="Times New Roman" w:hAnsi="Times New Roman"/>
          <w:sz w:val="22"/>
          <w:szCs w:val="22"/>
          <w:color w:val="auto"/>
        </w:rPr>
      </w:pPr>
    </w:p>
    <w:p>
      <w:pPr>
        <w:ind w:left="660" w:firstLine="644"/>
        <w:spacing w:after="0" w:line="271" w:lineRule="auto"/>
        <w:tabs>
          <w:tab w:leader="none" w:pos="17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payable in U.S. Dollars or Canadian Dollars, and the lessee and the precious metal subject to thereto is located within the United States of America or Canada;</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a maturity of no greater than twelve (12) months;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9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Precious Metal subject to such lease is an asset of the Borrower to which it has good and marketable title, is freely assignable, and is subject to a perfected, first priority Lien in favor of the Administrative Agent free and clear of any other Liens, and where the Borrower has taken all steps reasonably requested by the Administrative Agent to maintain the Administrative Agent’s Lien in such Precious Metal, including filing a precautionary UCC financing statement stating such Precious Metal is subject to a lease with the Borrower as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5" w:name="page186"/>
    <w:bookmarkEnd w:id="185"/>
    <w:p>
      <w:pPr>
        <w:jc w:val="both"/>
        <w:ind w:left="660" w:firstLine="644"/>
        <w:spacing w:after="0" w:line="257" w:lineRule="auto"/>
        <w:tabs>
          <w:tab w:leader="none" w:pos="187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requires the Precious Metal subject to such lease be returned to the Borrower in the same condition as originally leased or replaced with Precious Metal of the same type, quantity and quality of such originally leased Precious Metal;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five (5) Business Days prior written notice to the Borrower any such Precious Metal may be deemed ineligible by the Administrative Agent acting in its reasonable judgment).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“Eligible OTC Counterparty” </w:t>
      </w:r>
      <w:r>
        <w:rPr>
          <w:rFonts w:ascii="Times New Roman" w:cs="Times New Roman" w:eastAsia="Times New Roman" w:hAnsi="Times New Roman"/>
          <w:sz w:val="22"/>
          <w:szCs w:val="22"/>
          <w:color w:val="auto"/>
        </w:rPr>
        <w:t>means, with respect to any OTC Commodity Contract, (i) INTL FCStone Markets, LLC,</w:t>
      </w:r>
    </w:p>
    <w:p>
      <w:pPr>
        <w:spacing w:after="0" w:line="32" w:lineRule="exact"/>
        <w:rPr>
          <w:sz w:val="20"/>
          <w:szCs w:val="20"/>
          <w:color w:val="auto"/>
        </w:rPr>
      </w:pPr>
    </w:p>
    <w:p>
      <w:pPr>
        <w:jc w:val="both"/>
        <w:ind w:firstLine="8"/>
        <w:spacing w:after="0" w:line="245" w:lineRule="auto"/>
        <w:tabs>
          <w:tab w:leader="none" w:pos="32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is a Lender or an Affiliate of a Lender, or (iii) a Person that has a minimum rating from a nationally recognized credit agency of BBB+ that is acceptable to the Administrative Agent, in each case so long as such Person is an “eligible contract participant” as defined in the Commodity Exchange Act and the regulations thereunder.</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Letters of Credit Issued for Commodities Not Yet Received</w:t>
      </w:r>
      <w:r>
        <w:rPr>
          <w:rFonts w:ascii="Times New Roman" w:cs="Times New Roman" w:eastAsia="Times New Roman" w:hAnsi="Times New Roman"/>
          <w:sz w:val="22"/>
          <w:szCs w:val="22"/>
          <w:color w:val="auto"/>
        </w:rPr>
        <w:t>” means, as of any date, the aggregate face amount of documentary Letters of Credit for the Purchase of Eligible Commodities, as long as the Borrower is able to calculate drawable liability thereof in a manner acceptable to the Administrative Agent in its sole discretion, which such manner shall be in Borrower’s normal course of business and consistent with its month-end reconciliation processes, minus any amounts drawn or paid under such Letters of Credit minus any other liabilities then existing that may be satisfied by any such Letters of Credit for the purchase of Eligible Commodities as of such date for which title has passed to the Borrower as of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Purchase Agreement</w:t>
      </w:r>
      <w:r>
        <w:rPr>
          <w:rFonts w:ascii="Times New Roman" w:cs="Times New Roman" w:eastAsia="Times New Roman" w:hAnsi="Times New Roman"/>
          <w:sz w:val="22"/>
          <w:szCs w:val="22"/>
          <w:color w:val="auto"/>
        </w:rPr>
        <w:t>” means any Purchase Agreement which:</w:t>
      </w:r>
    </w:p>
    <w:p>
      <w:pPr>
        <w:spacing w:after="0" w:line="224" w:lineRule="exact"/>
        <w:rPr>
          <w:sz w:val="20"/>
          <w:szCs w:val="20"/>
          <w:color w:val="auto"/>
        </w:rPr>
      </w:pPr>
    </w:p>
    <w:p>
      <w:pPr>
        <w:jc w:val="both"/>
        <w:ind w:left="660" w:firstLine="644"/>
        <w:spacing w:after="0" w:line="248" w:lineRule="auto"/>
        <w:tabs>
          <w:tab w:leader="none" w:pos="176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valid, binding and legally enforceable obligation of the Borrower and the Purchaser and such Purchaser is not (i) a Subsidiary or an Affiliate of the Borrower, (ii) a shareholder, director, officer or employee of Holdings, the Borrower or any Subsidiary, (iii) the United States of America, or any state or political subdivision thereof, or any department, agency or instrumentality of any of the foregoing, unless the Assignment of Claims Act or any similar state or local statute, as the case may be, is complied with to the satisfaction of the Administrative Agent, (iv) a debtor under any proceeding under the United States Bankruptcy Code, as amended, or any other comparable bankruptcy or insolvency law, or (v) an assignor for the benefit of creditors;</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85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that the Purchaser must purchase or repurchase (as the case may be) the applicable commodities within a determined amount of time in accordance with such Purchase Agreement;</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under such Purchase Agreement and the representations and warranties made therein by the Borrower and the Purchaser are true and correct in all material respects;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full and unqualified right to assign and grant a Lien in such Purchase Agreement to the Administrative Agent for the benefit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6" w:name="page187"/>
    <w:bookmarkEnd w:id="186"/>
    <w:p>
      <w:pPr>
        <w:ind w:left="660" w:firstLine="644"/>
        <w:spacing w:after="0" w:line="271" w:lineRule="auto"/>
        <w:tabs>
          <w:tab w:leader="none" w:pos="17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subject to any dispute, setoff, counterclaim, deductions or other claims or defense with respect thereto by the Purchaser;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5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due from a Purchaser located in a state in which Borrower is not able to bring suit or otherwise enforce its remedies against a Purchaser through judicial process;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compliance in all respects with the requirements of the Credit and Collection Policy;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five (5) Business Days prior written notice to the Borrower or any Subsidiary any such commodity may be deemed ineligible by the Administrative Agent acting in its reasonable judgment).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“Eligible Receivable” </w:t>
      </w:r>
      <w:r>
        <w:rPr>
          <w:rFonts w:ascii="Times New Roman" w:cs="Times New Roman" w:eastAsia="Times New Roman" w:hAnsi="Times New Roman"/>
          <w:sz w:val="22"/>
          <w:szCs w:val="22"/>
          <w:color w:val="auto"/>
        </w:rPr>
        <w:t>means any Receivable of the Borrower that:</w:t>
      </w:r>
    </w:p>
    <w:p>
      <w:pPr>
        <w:spacing w:after="0" w:line="224" w:lineRule="exact"/>
        <w:rPr>
          <w:sz w:val="20"/>
          <w:szCs w:val="20"/>
          <w:color w:val="auto"/>
        </w:rPr>
      </w:pPr>
    </w:p>
    <w:p>
      <w:pPr>
        <w:jc w:val="both"/>
        <w:ind w:left="660" w:firstLine="644"/>
        <w:spacing w:after="0" w:line="259" w:lineRule="auto"/>
        <w:tabs>
          <w:tab w:leader="none" w:pos="195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arises out of the sale of commodities and is not contingent upon the completion of any further performance by the Borrower or any other Person on its/their behalf (other than a Receivable generated from Eligible In-Transit Inventory prior to delivery of such Eligible In-Transit Inventory), (ii) does not represent a pre-billed Receivable or a progress billing or retainage amount, (iii) does not relate to the payment of interest, other than in relation to repurchase obligations (but excluding the amount of any accrued interest in connection therewith), (iv) is net of any deposits made by or for the account of, or any payables owing to, the relevant Account Debtor or its Affiliates and (v) to the extent the aggregate Forward Contract Equity relating to Forward Contracts pursuant to which such Account Debtor (or its Affiliates) is the counterparty is negative, the amount of Receivables relating to such Account Debtor (and its Affiliates) to be included as Eligible Receivables shall be reduced (without duplication) by such negative amount, provided that no such reduction shall result in the aggregate Eligible Receivables for any such Account Debtor being negative;</w:t>
      </w:r>
    </w:p>
    <w:p>
      <w:pPr>
        <w:spacing w:after="0" w:line="175" w:lineRule="exact"/>
        <w:rPr>
          <w:rFonts w:ascii="Times New Roman" w:cs="Times New Roman" w:eastAsia="Times New Roman" w:hAnsi="Times New Roman"/>
          <w:sz w:val="21"/>
          <w:szCs w:val="21"/>
          <w:color w:val="auto"/>
        </w:rPr>
      </w:pPr>
    </w:p>
    <w:p>
      <w:pPr>
        <w:jc w:val="both"/>
        <w:ind w:left="660" w:firstLine="644"/>
        <w:spacing w:after="0" w:line="265" w:lineRule="auto"/>
        <w:tabs>
          <w:tab w:leader="none" w:pos="195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payable in U.S. Dollars or Canadian Dollars and the Account Debtor on such Receivable is located within the United States of America or Canada or, if such right has arisen out of the sale of such goods shipped to, or out of the rendition of services to, an Account Debtor located in any other country, such right is secured by an insurance policy in an amount and on such terms, and issued by an insurer, satisfactory to the Administrative Agent in its discretion which has been assigned or transferred to the Administrative Agent in a manner acceptable to the Administrative Agent;</w:t>
      </w:r>
    </w:p>
    <w:p>
      <w:pPr>
        <w:spacing w:after="0" w:line="165"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valid, binding and legally enforceable obligation of the Account Debtor obligated thereon and such Account Debtor (i) is not a Subsidiary or an Affiliate of the Borrower or any Guarantor, (ii) is not a shareholder, director, officer, or employee of the Borrower, any Guarantor or of any of their Subsidiaries, (iii) is not the United States of America, Canada or any state, province or political subdivision thereof, or any department, agency or instrumentality of any of the foregoing, unless the Assignment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7" w:name="page188"/>
    <w:bookmarkEnd w:id="187"/>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Claims Act or any similar state or local statute, as the case may be, is complied with to the satisfaction of the Administrative Agent, (iv) is not a debtor under any proceeding under any Debtor Relief Law, (v) is not an assignor for the benefit of creditors, or (vi) has not sold all or substantially all of its assets or has otherwise ceased its operations;</w:t>
      </w:r>
    </w:p>
    <w:p>
      <w:pPr>
        <w:spacing w:after="0" w:line="173" w:lineRule="exact"/>
        <w:rPr>
          <w:sz w:val="20"/>
          <w:szCs w:val="20"/>
          <w:color w:val="auto"/>
        </w:rPr>
      </w:pPr>
    </w:p>
    <w:p>
      <w:pPr>
        <w:ind w:left="660" w:firstLine="644"/>
        <w:spacing w:after="0" w:line="271"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evidenced by an instrument or chattel paper unless the same has been endorsed and delivered to the Administrative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asset of the Borrower to which it has good and marketable title, is freely assignable, and is subject to a perfected, first priority Lien in favor of the Administrative Agent free and clear of any other Liens (other than Liens permitted by Section 8.8(a) or (b) arising by operation of law which are subordinate to the Liens in favor of the Administrative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subject to any counterclaim or defense asserted by the Account Debtor or subject to any offset or contra account payable to the Account Debtor (unless the amount of such Receivable is net of such contra account established to the reasonable satisfaction of the Administrative Agent);</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surety bond was required or given in connection with said Receivable or the contract or purchase order out of which the same arose;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evidenced by an invoice to the Account Debtor dated not more than five (5) Business Days (or forty-five (45) days with respect to crude oil) subsequent to the shipment date of the relevant inventory or completion of performance of the relevant services (including fixing price of the contract), has not been invoiced more than once, and is issued on ordinary trade terms requiring payment within ninety (90) days of invoice date (or one hundred and eighty (180) days with respect to any Receivable that would satisfy the requirements set forth in the defined term Eligible Receivables (Insured or Investment Grade));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unpaid more than sixty (60) days after the original due date, in the case of Eligible Receivables (Insured or Investment Grade), or more than sixty (60) days after the original date of invoice, in the case of Eligible Receivables (Uninsured), and;</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has not been written off the books of the Borrower of such Guarantor or otherwise designated as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uncollectible;</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94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owed by an Account Debtor located in any jurisdiction which requires filing of a “Notice of Business Activities Report” or other similar report in order to permit the Borrower to seek judicial enforcement in such jurisdiction of payment of such Receivable, unless the Borrower has filed such report or qualified to do business in such jurisdiction;</w:t>
      </w:r>
    </w:p>
    <w:p>
      <w:pPr>
        <w:spacing w:after="0" w:line="155" w:lineRule="exact"/>
        <w:rPr>
          <w:rFonts w:ascii="Times New Roman" w:cs="Times New Roman" w:eastAsia="Times New Roman" w:hAnsi="Times New Roman"/>
          <w:sz w:val="21"/>
          <w:szCs w:val="21"/>
          <w:color w:val="auto"/>
        </w:rPr>
      </w:pPr>
    </w:p>
    <w:p>
      <w:pPr>
        <w:ind w:left="660" w:firstLine="644"/>
        <w:spacing w:after="0" w:line="271"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complies in all material respects with the requirements of all applicable laws and regulations, whether federal, state or local,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22"/>
          <w:szCs w:val="22"/>
          <w:color w:val="auto"/>
        </w:rPr>
        <w:t>Federal Consumer Credit Protection Act, the Federal Truth in Lending Act and Regulation Z of the Board;</w:t>
      </w:r>
    </w:p>
    <w:p>
      <w:pPr>
        <w:spacing w:after="0" w:line="220" w:lineRule="exact"/>
        <w:rPr>
          <w:sz w:val="20"/>
          <w:szCs w:val="20"/>
          <w:color w:val="auto"/>
        </w:rPr>
      </w:pPr>
    </w:p>
    <w:p>
      <w:pPr>
        <w:ind w:left="660" w:right="20" w:firstLine="644"/>
        <w:spacing w:after="0" w:line="271" w:lineRule="auto"/>
        <w:tabs>
          <w:tab w:leader="none" w:pos="195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set forth in this Agreement and the Collateral Documents are true and correct with respect thereto;</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arise from a sale on a bill-and-hold, guaranteed sale, sale-or-return, sale-on-approval, consignment, or any other repurchase or return basis;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subject to any Permitted Accounts Receivables Sales;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sole judgment of the Administrative Agent (it being acknowledged and agreed that with five (5) Business Days prior written notice any Receivable of the Borrower may be deemed ineligible by the Administrative Agent acting in its sole judgment).</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“Eligible Receivable (Insured or Investment Grade)” </w:t>
      </w:r>
      <w:r>
        <w:rPr>
          <w:rFonts w:ascii="Times New Roman" w:cs="Times New Roman" w:eastAsia="Times New Roman" w:hAnsi="Times New Roman"/>
          <w:sz w:val="22"/>
          <w:szCs w:val="22"/>
          <w:color w:val="auto"/>
        </w:rPr>
        <w:t>means an Eligible Receivable (i) where the Account Debtor thereon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located in an Approved Jurisdiction; and either (ii)(x) where the Account Debtor has an Investment Grade Rating, (y) that are secured by an insurance policy in an amount and on such terms, and issued by an insurer having an Investment Grade Rating and that is otherwise satisfactory to the Administrative Agent in its discretion which has been assigned or transferred to the Administrative Agent in a manner acceptable to the Administrative Agent, or (z) in the case of Eligible Receivables where the Account Debtor is not located in the United States, that are supported by a letter of credit (documentary or standby), bank guarantee or other form of credit support issued for the benefit of the Borrower in a form and substance and from a financial institution with an Investment Grade Rating and reasonably acceptable to the Administrative Agent or subject to any other secured payment terms otherwise satisfactory to the Administrative Agent in its discretion.</w:t>
      </w:r>
    </w:p>
    <w:p>
      <w:pPr>
        <w:spacing w:after="0" w:line="181"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“Eligible Receivable (Uninsured)” </w:t>
      </w:r>
      <w:r>
        <w:rPr>
          <w:rFonts w:ascii="Times New Roman" w:cs="Times New Roman" w:eastAsia="Times New Roman" w:hAnsi="Times New Roman"/>
          <w:sz w:val="21"/>
          <w:szCs w:val="21"/>
          <w:color w:val="auto"/>
        </w:rPr>
        <w:t>means all Eligible Receivables (i) where the Account Debtor is located in the United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States of America or Canada, and (ii) that does not otherwise qualify as Eligible Receivables (Insured or Investment Grade).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Renewable Identification Numbers</w:t>
      </w:r>
      <w:r>
        <w:rPr>
          <w:rFonts w:ascii="Times New Roman" w:cs="Times New Roman" w:eastAsia="Times New Roman" w:hAnsi="Times New Roman"/>
          <w:sz w:val="22"/>
          <w:szCs w:val="22"/>
          <w:color w:val="auto"/>
        </w:rPr>
        <w:t>” means any Renewable Identification Number that:</w:t>
      </w:r>
    </w:p>
    <w:p>
      <w:pPr>
        <w:spacing w:after="0" w:line="224" w:lineRule="exact"/>
        <w:rPr>
          <w:sz w:val="20"/>
          <w:szCs w:val="20"/>
          <w:color w:val="auto"/>
        </w:rPr>
      </w:pPr>
    </w:p>
    <w:p>
      <w:pPr>
        <w:ind w:left="660" w:firstLine="644"/>
        <w:spacing w:after="0" w:line="271" w:lineRule="auto"/>
        <w:tabs>
          <w:tab w:leader="none" w:pos="179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asset of the Borrower to which it has good and marketable title, is freely assignable, and is subject to a perfected, first priority Lien in favor of the Administrative Agent free and clear of any other Liens;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unexpired and less than one year from the date of issuance;</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subject to a binding, enforceable contract and the obligation of the purchaser thereunder is not contingent upon the completion of any further performance by the Borrower or any other Person on its/their behalf, and the purchase of Renewable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22"/>
          <w:szCs w:val="22"/>
          <w:color w:val="auto"/>
        </w:rPr>
        <w:t>Identification Number shall occur not later than sixty (60) days from the date of determination;</w:t>
      </w:r>
    </w:p>
    <w:p>
      <w:pPr>
        <w:spacing w:after="0" w:line="220" w:lineRule="exact"/>
        <w:rPr>
          <w:sz w:val="20"/>
          <w:szCs w:val="20"/>
          <w:color w:val="auto"/>
        </w:rPr>
      </w:pPr>
    </w:p>
    <w:p>
      <w:pPr>
        <w:ind w:left="660" w:firstLine="644"/>
        <w:spacing w:after="0" w:line="271" w:lineRule="auto"/>
        <w:tabs>
          <w:tab w:leader="none" w:pos="177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validly generated for renewable fuel, has not been retired, and represents that applicable fuel volume that was produced;</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not subject to an invalid transfer or improperly identified;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otherwise deemed to be ineligible in the reasonable judgment of the Administrative Agent (it being acknowledged and agreed that with five (5) Business Days prior written notice to the Borrower or any Borrower Subsidiary any such commodity may be deemed ineligible by the Administrative Agent acting in its reasonable judgment).</w:t>
      </w:r>
    </w:p>
    <w:p>
      <w:pPr>
        <w:spacing w:after="0" w:line="175" w:lineRule="exact"/>
        <w:rPr>
          <w:sz w:val="20"/>
          <w:szCs w:val="20"/>
          <w:color w:val="auto"/>
        </w:rPr>
      </w:pPr>
    </w:p>
    <w:p>
      <w:pPr>
        <w:ind w:left="80" w:right="14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“Eligible Tier I Commodities” </w:t>
      </w:r>
      <w:r>
        <w:rPr>
          <w:rFonts w:ascii="Times New Roman" w:cs="Times New Roman" w:eastAsia="Times New Roman" w:hAnsi="Times New Roman"/>
          <w:sz w:val="21"/>
          <w:szCs w:val="21"/>
          <w:color w:val="auto"/>
        </w:rPr>
        <w:t>means those Qualified Commodities set forth on Schedule 5.1 attached hereto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heading </w:t>
      </w:r>
      <w:r>
        <w:rPr>
          <w:rFonts w:ascii="Times New Roman" w:cs="Times New Roman" w:eastAsia="Times New Roman" w:hAnsi="Times New Roman"/>
          <w:sz w:val="21"/>
          <w:szCs w:val="21"/>
          <w:i w:val="1"/>
          <w:iCs w:val="1"/>
          <w:color w:val="auto"/>
        </w:rPr>
        <w:t>“Eligible Tier I Commodity”</w:t>
      </w:r>
      <w:r>
        <w:rPr>
          <w:rFonts w:ascii="Times New Roman" w:cs="Times New Roman" w:eastAsia="Times New Roman" w:hAnsi="Times New Roman"/>
          <w:sz w:val="21"/>
          <w:szCs w:val="21"/>
          <w:color w:val="auto"/>
        </w:rPr>
        <w:t xml:space="preserve"> as such schedule may be updated from time to time with the consent of the Lenders.</w:t>
      </w:r>
    </w:p>
    <w:p>
      <w:pPr>
        <w:spacing w:after="0" w:line="127" w:lineRule="exact"/>
        <w:rPr>
          <w:sz w:val="20"/>
          <w:szCs w:val="20"/>
          <w:color w:val="auto"/>
        </w:rPr>
      </w:pPr>
    </w:p>
    <w:p>
      <w:pPr>
        <w:ind w:left="80" w:right="14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“Eligible Tier II Commodities” </w:t>
      </w:r>
      <w:r>
        <w:rPr>
          <w:rFonts w:ascii="Times New Roman" w:cs="Times New Roman" w:eastAsia="Times New Roman" w:hAnsi="Times New Roman"/>
          <w:sz w:val="21"/>
          <w:szCs w:val="21"/>
          <w:color w:val="auto"/>
        </w:rPr>
        <w:t>means those Qualified Commodities set forth on Schedule 5.1 attached hereto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heading </w:t>
      </w:r>
      <w:r>
        <w:rPr>
          <w:rFonts w:ascii="Times New Roman" w:cs="Times New Roman" w:eastAsia="Times New Roman" w:hAnsi="Times New Roman"/>
          <w:sz w:val="21"/>
          <w:szCs w:val="21"/>
          <w:i w:val="1"/>
          <w:iCs w:val="1"/>
          <w:color w:val="auto"/>
        </w:rPr>
        <w:t>“Eligible Tier II Commodity”</w:t>
      </w:r>
      <w:r>
        <w:rPr>
          <w:rFonts w:ascii="Times New Roman" w:cs="Times New Roman" w:eastAsia="Times New Roman" w:hAnsi="Times New Roman"/>
          <w:sz w:val="21"/>
          <w:szCs w:val="21"/>
          <w:color w:val="auto"/>
        </w:rPr>
        <w:t xml:space="preserve"> as such schedule may be updated from time to time with the consent of the Lenders.</w:t>
      </w:r>
    </w:p>
    <w:p>
      <w:pPr>
        <w:spacing w:after="0" w:line="1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current or future Legal Requirement pertaining to (a) the protection of health, safety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Liability</w:t>
      </w:r>
      <w:r>
        <w:rPr>
          <w:rFonts w:ascii="Times New Roman" w:cs="Times New Roman" w:eastAsia="Times New Roman" w:hAnsi="Times New Roman"/>
          <w:sz w:val="21"/>
          <w:szCs w:val="21"/>
          <w:color w:val="auto"/>
        </w:rPr>
        <w:t>” means any liability or obligation, contingent or otherwise (including any liability for damages, costs of environmental remediation, fines, penalties or indemnities), directly or indirectly, resulting from or based upon</w:t>
      </w:r>
    </w:p>
    <w:p>
      <w:pPr>
        <w:spacing w:after="0" w:line="2" w:lineRule="exact"/>
        <w:rPr>
          <w:sz w:val="20"/>
          <w:szCs w:val="20"/>
          <w:color w:val="auto"/>
        </w:rPr>
      </w:pPr>
    </w:p>
    <w:p>
      <w:pPr>
        <w:jc w:val="both"/>
        <w:ind w:firstLine="8"/>
        <w:spacing w:after="0" w:line="245" w:lineRule="auto"/>
        <w:tabs>
          <w:tab w:leader="none" w:pos="3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or any successor statute thereto,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rules and regulations promulgated thereunder.</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30-day notice period is waived); (b) the determination that any Plan is considered an at-risk plan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0" w:name="page191"/>
    <w:bookmarkEnd w:id="190"/>
    <w:p>
      <w:pPr>
        <w:jc w:val="both"/>
        <w:spacing w:after="0" w:line="245" w:lineRule="auto"/>
        <w:rPr>
          <w:sz w:val="20"/>
          <w:szCs w:val="20"/>
          <w:color w:val="auto"/>
        </w:rPr>
      </w:pPr>
      <w:r>
        <w:rPr>
          <w:rFonts w:ascii="Times New Roman" w:cs="Times New Roman" w:eastAsia="Times New Roman" w:hAnsi="Times New Roman"/>
          <w:sz w:val="22"/>
          <w:szCs w:val="22"/>
          <w:color w:val="auto"/>
        </w:rPr>
        <w:t>any Multiemployer Plan is endangered or is in critical status within the meaning of Sections 430 or 432 of the Code or Sections 303 or 305 of ERISA, as applicable; (c) the incurrence by the Borrower or any member of the Controlled Group of any liability under Title IV of ERISA, other than for PBGC premiums not yet due; (d) the receipt by the Borrower or any member of the Controlled Group from the PBGC or plan administrator of any notice relating to an intention to terminate any Plan or to appoint a trustee to administer any Plan or the occurrence of any event or condition which constitutes grounds under Section 4042 of ERISA for the termination of, or the appointment of a trustee to administer, any Plan; (e) the appointment of a trustee to administer any Plan; (f) the withdrawal of the Borrower or any member of the Controlled Group from a Plan subject to Section 4063 of ERISA during a plan year in which such entity was a substantial employer (as defined in Section 4001(a)(2) of ERISA) or the cessation of operations by the Borrower or any member of the Controlled Group that would be treated as a withdrawal from a Plan under Section 4062(e) of ERISA; (g) the partial or complete withdrawal by the Borrower or any member of the Controlled Group from any Multiemployer Plan or a notification that a Multiemployer Plan is insolvent; or (h) the taking of any action to terminate any Plan or Multiemployer Plan under Section 4041 or 4041A of ERISA.</w:t>
      </w:r>
    </w:p>
    <w:p>
      <w:pPr>
        <w:spacing w:after="0" w:line="1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“Eurodollar Loan” </w:t>
      </w:r>
      <w:r>
        <w:rPr>
          <w:rFonts w:ascii="Times New Roman" w:cs="Times New Roman" w:eastAsia="Times New Roman" w:hAnsi="Times New Roman"/>
          <w:sz w:val="22"/>
          <w:szCs w:val="22"/>
          <w:color w:val="auto"/>
        </w:rPr>
        <w:t>means a Loan bearing interest at the rate specified in Section 1.2(b)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“Eurodollar Reserve Percentage” </w:t>
      </w:r>
      <w:r>
        <w:rPr>
          <w:rFonts w:ascii="Times New Roman" w:cs="Times New Roman" w:eastAsia="Times New Roman" w:hAnsi="Times New Roman"/>
          <w:sz w:val="22"/>
          <w:szCs w:val="22"/>
          <w:color w:val="auto"/>
        </w:rPr>
        <w:t>is defined in Section 1.2(b)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means any event or condition identified as such in Section 9.1 hereof.</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“Excluded Taxes” </w:t>
      </w:r>
      <w:r>
        <w:rPr>
          <w:rFonts w:ascii="Times New Roman" w:cs="Times New Roman" w:eastAsia="Times New Roman" w:hAnsi="Times New Roman"/>
          <w:sz w:val="22"/>
          <w:szCs w:val="22"/>
          <w:color w:val="auto"/>
        </w:rPr>
        <w:t>means any of the following Taxes imposed on or with respect to a Recipient or required to be withheld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1" w:name="page192"/>
    <w:bookmarkEnd w:id="191"/>
    <w:p>
      <w:pPr>
        <w:jc w:val="both"/>
        <w:spacing w:after="0" w:line="248" w:lineRule="auto"/>
        <w:rPr>
          <w:sz w:val="20"/>
          <w:szCs w:val="20"/>
          <w:color w:val="auto"/>
        </w:rPr>
      </w:pPr>
      <w:r>
        <w:rPr>
          <w:rFonts w:ascii="Times New Roman" w:cs="Times New Roman" w:eastAsia="Times New Roman" w:hAnsi="Times New Roman"/>
          <w:sz w:val="22"/>
          <w:szCs w:val="22"/>
          <w:color w:val="auto"/>
        </w:rPr>
        <w:t>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1.11) or (ii) such Lender changes its lending office, except in each case to the extent that, pursuant to Section 13.1 amounts with respect to such Taxes were payable either to such Lender’s assignor immediately before such Lender became a party hereto or to such Lender immediately before it changed its lending office, (c) Taxes attributable to such Recipient’s failure to comply with Section 13.1(g), and (d) any U.S. federal withholding Taxes imposed under FATCA.</w:t>
      </w:r>
    </w:p>
    <w:p>
      <w:pPr>
        <w:spacing w:after="0" w:line="1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“FATCA” </w:t>
      </w:r>
      <w:r>
        <w:rPr>
          <w:rFonts w:ascii="Times New Roman" w:cs="Times New Roman" w:eastAsia="Times New Roman" w:hAnsi="Times New Roman"/>
          <w:sz w:val="22"/>
          <w:szCs w:val="22"/>
          <w:color w:val="auto"/>
        </w:rPr>
        <w:t>means Sections 1471 through 1474 of the Code, as of the date of this Agreement (or any amended or successor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version that is substantively comparable and not materially more onerous to comply with), any current or future regulations or official interpretations thereof, and any agreements entered into pursuant to Section 1471(b)(1) of the Code, any applicable intergovernmental agreement among Governmental Authorities implementing the foregoing, and any fiscal or regulatory legislation, rules or practices adopted pursuant to any such intergovernmental agreement, or any treaty or convention among Governmental Authorities and implementing the foregoing.</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“Federal Funds Rate” </w:t>
      </w:r>
      <w:r>
        <w:rPr>
          <w:rFonts w:ascii="Times New Roman" w:cs="Times New Roman" w:eastAsia="Times New Roman" w:hAnsi="Times New Roman"/>
          <w:sz w:val="22"/>
          <w:szCs w:val="22"/>
          <w:color w:val="auto"/>
        </w:rPr>
        <w:t>means, for any day, the rate per annum equal to the weighted average of the rates on overnight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federal funds transactions with members of the Federal Reserve System,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provided that in no event shall the Federal Funds Rate be less than 0.00%.</w:t>
      </w:r>
    </w:p>
    <w:p>
      <w:pPr>
        <w:spacing w:after="0" w:line="185"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Food Security Act</w:t>
      </w:r>
      <w:r>
        <w:rPr>
          <w:rFonts w:ascii="Times New Roman" w:cs="Times New Roman" w:eastAsia="Times New Roman" w:hAnsi="Times New Roman"/>
          <w:sz w:val="21"/>
          <w:szCs w:val="21"/>
          <w:color w:val="auto"/>
        </w:rPr>
        <w:t>” means the Food Security Act of 1985, 7 U.S.C. Section 1631 et. seq., as the same now exists or may hereafter from time to time be amended, modified, recodified or supplemented, together with all rules and regulations thereunder.</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“Foreign Borrower Subsidiary” </w:t>
      </w:r>
      <w:r>
        <w:rPr>
          <w:rFonts w:ascii="Times New Roman" w:cs="Times New Roman" w:eastAsia="Times New Roman" w:hAnsi="Times New Roman"/>
          <w:sz w:val="22"/>
          <w:szCs w:val="22"/>
          <w:color w:val="auto"/>
        </w:rPr>
        <w:t>means each Borrower Subsidiary which (a) is organized under the laws of a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the United States of America or any state thereof or the District of Columbia, (b) conducts substantially all of its business outside of the United States of America, and (c) has substantially all of its assets outside of the United States of America.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“Forward Contract” </w:t>
      </w:r>
      <w:r>
        <w:rPr>
          <w:rFonts w:ascii="Times New Roman" w:cs="Times New Roman" w:eastAsia="Times New Roman" w:hAnsi="Times New Roman"/>
          <w:sz w:val="22"/>
          <w:szCs w:val="22"/>
          <w:color w:val="auto"/>
        </w:rPr>
        <w:t>means (i) with respect to the Merchants Plus Program, a forward contract governed by the laws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United States (or any state thereof) between Borrower and a seller of Qualified Commodities who commits to sell a predetermined quantity of the commodity to be delivered to Borrower by a certain date, and a sale contract between the Borrower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50" w:lineRule="auto"/>
        <w:rPr>
          <w:sz w:val="20"/>
          <w:szCs w:val="20"/>
          <w:color w:val="auto"/>
        </w:rPr>
      </w:pPr>
      <w:r>
        <w:rPr>
          <w:rFonts w:ascii="Times New Roman" w:cs="Times New Roman" w:eastAsia="Times New Roman" w:hAnsi="Times New Roman"/>
          <w:sz w:val="22"/>
          <w:szCs w:val="22"/>
          <w:color w:val="auto"/>
        </w:rPr>
        <w:t>different party who is a buyer of the commodity, and (ii) with respect to Qualified Commodities other than in respect of the Merchants Plus Program, any contract governed by the laws of the United States (or any state thereof) between the Borrower and one or more other Certified Merchants whereby the Borrower agrees to purchase or sell Qualified Commodities from or to such Certified Merchants in a fixed price forward contract or no basis established contract on a date specified after the date of the contract.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“Forward Contract Equity” </w:t>
      </w:r>
      <w:r>
        <w:rPr>
          <w:rFonts w:ascii="Times New Roman" w:cs="Times New Roman" w:eastAsia="Times New Roman" w:hAnsi="Times New Roman"/>
          <w:sz w:val="22"/>
          <w:szCs w:val="22"/>
          <w:color w:val="auto"/>
        </w:rPr>
        <w:t>means, as of any date of determination and with respect to any Forward Contract, (a)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is the seller under such Forward Contract, the difference between the price payable on the same delivery date for such Qualified Commodities under such Forward Contract outstanding as of such date of determination,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Market Value on a delivery date for the Qualified Commodities under such Forward Contract if entered into as of such date of determination, and (b) if the Borrower is the purchaser under such Forward Contract, the difference between the Market Value on a delivery date for the Qualified Commodities under such Forward Contract if entered into as of such date of determination,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price payable on the same delivery date for such Qualified Commodities under such Forward Contract outstanding as of such date of determination;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each case, (A) the Forward Contract Equity relating to Forward Contracts for any counterparty (i) shall be calculated on a net basis for all Forward Contract Equity relating to Forward Contracts (and forward contracts not constituting Forward Contracts or Forward Contract Equity) between such counterparty (or any of its Affiliates) and the Borrower and (ii) to the extent the Receivables for which such counterparty (and any of its Affiliates) is Account Debtor, calculated net of any deposits made by or for the account of, or any payables owing to, the relevant Account Debtor, is negative, the Forward Contract Equity relating to Forward Contracts with such counterparty (and its Affiliates) shall be reduced (without duplication) by such negative amount, provided that no such reduction shall result in the aggregate Forward Contract Equity for any such counterparty being negative; and (B) the value of any outstanding Forward Contract shall be excluded from “Forward Contract Equity” to the extent that such outstanding Forward Contract (i) is not a validly-executed contract that is in full force and effect; (ii) is a contract pursuant to which delivery is to be made more than twenty-four (24) months after the date of determination; (iii) is subject to any condition (other than the passage of time and tender of payment or goods) or dispute or with respect to which a known claim of offset or a contra account, or a defense or counterclaim, has been asserted by the Certified Merchant; (iv) is not subject to a duly perfected first priority Lien in favor of the Administrative Agent or is subject to any other Lien (other than any Lien securing the Secured Obligations); (v) is a contract that has been rolled more than two times, or has been rolled for a period of sixty days or more from the original delivery date, (vi) is a contract that has been restructured, extended, amended or modified for any reason not described in clause (v) above; (vii) is a contract which is past the delivery date by more than thirty-five (35) days or (viii) has been terminated or is subject to termination by reason of a default or bankruptcy or any other termination event thereunder, in each case unless such termination is subject to payment of the mark-to-market value thereof by the relevant counterparty.</w:t>
      </w:r>
    </w:p>
    <w:p>
      <w:pPr>
        <w:spacing w:after="0" w:line="19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Fronting Exposure</w:t>
      </w:r>
      <w:r>
        <w:rPr>
          <w:rFonts w:ascii="Times New Roman" w:cs="Times New Roman" w:eastAsia="Times New Roman" w:hAnsi="Times New Roman"/>
          <w:sz w:val="22"/>
          <w:szCs w:val="22"/>
          <w:color w:val="auto"/>
        </w:rPr>
        <w:t>” means, at any time there is a Defaulting Lender, such Defaulting Lender’s Revolver Percentage of the outstanding L/C Obligations with respect to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71" w:lineRule="auto"/>
        <w:rPr>
          <w:sz w:val="20"/>
          <w:szCs w:val="20"/>
          <w:color w:val="auto"/>
        </w:rPr>
      </w:pPr>
      <w:r>
        <w:rPr>
          <w:rFonts w:ascii="Times New Roman" w:cs="Times New Roman" w:eastAsia="Times New Roman" w:hAnsi="Times New Roman"/>
          <w:sz w:val="22"/>
          <w:szCs w:val="22"/>
          <w:color w:val="auto"/>
        </w:rPr>
        <w:t>Credit issued by such L/C Issuer other than L/C Obligations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Funding Rules</w:t>
      </w:r>
      <w:r>
        <w:rPr>
          <w:rFonts w:ascii="Times New Roman" w:cs="Times New Roman" w:eastAsia="Times New Roman" w:hAnsi="Times New Roman"/>
          <w:sz w:val="22"/>
          <w:szCs w:val="22"/>
          <w:color w:val="auto"/>
        </w:rPr>
        <w:t>” means the requirements relating to the minimum required contributions (including any installment payments) to Plans and Multiemployer Plans, as applicable, and set forth in Sections 412, 430, 431, 432 and 436 of the Code and Sections 302, 303, 304 and 305 of ERISA.</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Funds Transfer and Deposit Account Liability</w:t>
      </w:r>
      <w:r>
        <w:rPr>
          <w:rFonts w:ascii="Times New Roman" w:cs="Times New Roman" w:eastAsia="Times New Roman" w:hAnsi="Times New Roman"/>
          <w:sz w:val="22"/>
          <w:szCs w:val="22"/>
          <w:color w:val="auto"/>
        </w:rPr>
        <w:t>” means the liability of the Borrower or any Guarantor owing to any of the Lenders, or any Affiliates of such Lenders, arising out of (a) the execution or processing of electronic transfers of funds by automatic clearing house transfer, wire transfer or otherwise to or from deposit accounts of the Borrower and/or any Guarantor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Guarantor by any of such Lenders or their Affiliates.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set forth from time to time in the opinions and pronouncements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the government of the United States of America or any other nation, or of any political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“Guarantors” </w:t>
      </w:r>
      <w:r>
        <w:rPr>
          <w:rFonts w:ascii="Times New Roman" w:cs="Times New Roman" w:eastAsia="Times New Roman" w:hAnsi="Times New Roman"/>
          <w:sz w:val="22"/>
          <w:szCs w:val="22"/>
          <w:color w:val="auto"/>
        </w:rPr>
        <w:t>each is defined in Section 4.1 hereof.</w:t>
      </w:r>
      <w:r>
        <w:rPr>
          <w:rFonts w:ascii="Times New Roman" w:cs="Times New Roman" w:eastAsia="Times New Roman" w:hAnsi="Times New Roman"/>
          <w:sz w:val="22"/>
          <w:szCs w:val="22"/>
          <w:i w:val="1"/>
          <w:iCs w:val="1"/>
          <w:color w:val="auto"/>
        </w:rPr>
        <w:t xml:space="preserve"> “Guaranty”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“Guaranties” </w:t>
      </w:r>
      <w:r>
        <w:rPr>
          <w:rFonts w:ascii="Times New Roman" w:cs="Times New Roman" w:eastAsia="Times New Roman" w:hAnsi="Times New Roman"/>
          <w:sz w:val="22"/>
          <w:szCs w:val="22"/>
          <w:color w:val="auto"/>
        </w:rPr>
        <w:t>each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4.1 hereof.</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4" w:name="page195"/>
    <w:bookmarkEnd w:id="194"/>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“Hedging Account” </w:t>
      </w:r>
      <w:r>
        <w:rPr>
          <w:rFonts w:ascii="Times New Roman" w:cs="Times New Roman" w:eastAsia="Times New Roman" w:hAnsi="Times New Roman"/>
          <w:sz w:val="22"/>
          <w:szCs w:val="22"/>
          <w:color w:val="auto"/>
        </w:rPr>
        <w:t>means any commodity account, deposit account or securities account (as such terms are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UCC) of the Borrower.</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“Hedging Agreements” </w:t>
      </w:r>
      <w:r>
        <w:rPr>
          <w:rFonts w:ascii="Times New Roman" w:cs="Times New Roman" w:eastAsia="Times New Roman" w:hAnsi="Times New Roman"/>
          <w:sz w:val="22"/>
          <w:szCs w:val="22"/>
          <w:color w:val="auto"/>
        </w:rPr>
        <w:t>means any arrangement entered into by the Borrower or a Purchaser with a counterparty to hedge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against fluctuations in raw materials values or commodity prices (including without limitation a commodity swap transaction, commodity collar transaction, commodity put transaction, commodity cap transaction, commodity purchase transaction, or commodity option transaction, or any combination of the foregoing (including any options to enter into the foregoing)) that permits financial (rather than physical) settlement of such arrangement.</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“Hedging Liability” </w:t>
      </w:r>
      <w:r>
        <w:rPr>
          <w:rFonts w:ascii="Times New Roman" w:cs="Times New Roman" w:eastAsia="Times New Roman" w:hAnsi="Times New Roman"/>
          <w:sz w:val="22"/>
          <w:szCs w:val="22"/>
          <w:color w:val="auto"/>
        </w:rPr>
        <w:t>means the liability of the Borrower or any Guarantor to any of the Lenders, or any Affiliates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in respect of any Hedging Agreement of the type permitted under Section 8.7(c) as the Borrower or such Guarantor may from time to time enter into with any one or more of the Lenders party to this Agreement or their Affiliates, whether absolute or contingent and however and whenever created, arising, evidenced or acquired (including all renewals, extensions and modifications thereof, and substitutions therefor);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with respect to any Guarantor, Hedging Liability Guaranteed by such Guarantor shall exclude all Excluded Swap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“Holdings” </w:t>
      </w:r>
      <w:r>
        <w:rPr>
          <w:rFonts w:ascii="Times New Roman" w:cs="Times New Roman" w:eastAsia="Times New Roman" w:hAnsi="Times New Roman"/>
          <w:sz w:val="22"/>
          <w:szCs w:val="22"/>
          <w:color w:val="auto"/>
        </w:rPr>
        <w:t>is defined in the introductory paragraph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“Holdings Subordinated Debt” </w:t>
      </w:r>
      <w:r>
        <w:rPr>
          <w:rFonts w:ascii="Times New Roman" w:cs="Times New Roman" w:eastAsia="Times New Roman" w:hAnsi="Times New Roman"/>
          <w:sz w:val="22"/>
          <w:szCs w:val="22"/>
          <w:color w:val="auto"/>
        </w:rPr>
        <w:t>means Subordinated Debt owing by the Borrower or any Borrower Subsidiary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Holdings and having no scheduled payments of principal (whether a scheduled amortization payment, at maturity or otherwise) due at any time prior to the date that is six months after the Termination Date.</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“Indebtedness for Borrowed Money” </w:t>
      </w:r>
      <w:r>
        <w:rPr>
          <w:rFonts w:ascii="Times New Roman" w:cs="Times New Roman" w:eastAsia="Times New Roman" w:hAnsi="Times New Roman"/>
          <w:sz w:val="22"/>
          <w:szCs w:val="22"/>
          <w:color w:val="auto"/>
        </w:rPr>
        <w:t>means for any Person (without duplication) (a) all indebtedness created, assumed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incurred in any manner by such Person representing money borrowed (including by the issuance of debt securities), (b) all indebtedness for the deferred purchase price of property or services (other than trade accounts payable arising in the ordinary course of business which are not more than ninety (90) days past due), (c) all indebtedness secured by any Lien upon Property of such Person, whether or not such Person has assumed or become liable for the payment of such indebtedness, (d) all Capitalized Lease Obligations of such Person, and (e) all obligations of such Person on or with respect to letters of credit, bankers’ acceptances and other extensions of credit whether or not representing obligations for borrowed money.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all Taxes other than Excluded Taxes, imposed on or with respect to any payment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account of any obligation of any Loan Party under any Loan Document and (b) to the extent not otherwise described in (a), Other Taxes.</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“Interest Payment Date” </w:t>
      </w:r>
      <w:r>
        <w:rPr>
          <w:rFonts w:ascii="Times New Roman" w:cs="Times New Roman" w:eastAsia="Times New Roman" w:hAnsi="Times New Roman"/>
          <w:sz w:val="22"/>
          <w:szCs w:val="22"/>
          <w:color w:val="auto"/>
        </w:rPr>
        <w:t>means (a) with respect to any Eurodollar Loan, the last day of each Interest Period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such Eurodollar Loan and on the Termination Date and, if the applicable Interest Period is longer than three (3) months, on each day occurring every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95" w:name="page196"/>
    <w:bookmarkEnd w:id="195"/>
    <w:p>
      <w:pPr>
        <w:jc w:val="both"/>
        <w:spacing w:after="0" w:line="271" w:lineRule="auto"/>
        <w:rPr>
          <w:sz w:val="20"/>
          <w:szCs w:val="20"/>
          <w:color w:val="auto"/>
        </w:rPr>
      </w:pPr>
      <w:r>
        <w:rPr>
          <w:rFonts w:ascii="Times New Roman" w:cs="Times New Roman" w:eastAsia="Times New Roman" w:hAnsi="Times New Roman"/>
          <w:sz w:val="22"/>
          <w:szCs w:val="22"/>
          <w:color w:val="auto"/>
        </w:rPr>
        <w:t>months after the commencement of such Interest Period, and (b) with respect to any Base Rate Loan, the last day of every fiscal quarter and on the Termination Date.</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the period commencing on the date a Borrowing of Eurodollar Loans is advanced, continued,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created by conversion and ending in the case of Eurodollar Loans, 2 weeks or 1, 2, 3, or 6 months thereafter,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w:t>
      </w:r>
    </w:p>
    <w:p>
      <w:pPr>
        <w:spacing w:after="0" w:line="170" w:lineRule="exact"/>
        <w:rPr>
          <w:sz w:val="20"/>
          <w:szCs w:val="20"/>
          <w:color w:val="auto"/>
        </w:rPr>
      </w:pPr>
    </w:p>
    <w:p>
      <w:pPr>
        <w:ind w:left="1720" w:hanging="416"/>
        <w:spacing w:after="0"/>
        <w:tabs>
          <w:tab w:leader="none" w:pos="17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final maturity date of the relevant Loans;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extension would cause the last day of an Interest Period for a Borrowing of Eurodollar Loans to occur in the following calendar month, the last day of such Interest Period shall be the immediately preceding Business Day;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69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an Interest Period for a Borrowing of Eurodollar Loans, a month means a period starting on one day in a calendar month and ending on the numerically corresponding day in the next calendar month;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if there is no numerically corresponding day in the month in which such an Interest Period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 or if such an Interest Period begins on the last Business Day of a calendar month, then such Interest Period shall end on the last Business Day of the calendar month in which such Interest Period is to end.</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“INTL BOA Facility” </w:t>
      </w:r>
      <w:r>
        <w:rPr>
          <w:rFonts w:ascii="Times New Roman" w:cs="Times New Roman" w:eastAsia="Times New Roman" w:hAnsi="Times New Roman"/>
          <w:sz w:val="22"/>
          <w:szCs w:val="22"/>
          <w:color w:val="auto"/>
        </w:rPr>
        <w:t>means that certain Amended and Restated Credit Agreement, dated as of February 22, 2019, among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Holdings, as Borrower, the Lenders (as defined therein) and Bank of America, N.A., as Administrative Agent, Swing Line Lender and L/C Issuer, as the same may be amended from time to time.</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Grade</w:t>
      </w:r>
      <w:r>
        <w:rPr>
          <w:rFonts w:ascii="Times New Roman" w:cs="Times New Roman" w:eastAsia="Times New Roman" w:hAnsi="Times New Roman"/>
          <w:sz w:val="22"/>
          <w:szCs w:val="22"/>
          <w:color w:val="auto"/>
        </w:rPr>
        <w:t xml:space="preserve">” means a Person having, or whose securities have, a long-term rating of BBB or better by S&amp;P, Baa2 or better by Moody’s, or BBB or better by Fitch;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more than one long-term rating applies to such Person and/or its securities, then the lowest rating shall apply.</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Grade Rating</w:t>
      </w:r>
      <w:r>
        <w:rPr>
          <w:rFonts w:ascii="Times New Roman" w:cs="Times New Roman" w:eastAsia="Times New Roman" w:hAnsi="Times New Roman"/>
          <w:sz w:val="22"/>
          <w:szCs w:val="22"/>
          <w:color w:val="auto"/>
        </w:rPr>
        <w:t xml:space="preserve">” means a long-term rating of BBB or better by Standard &amp; Poor’s Ratings Services Group, a division of The McGraw-Hill Companies, Inc., Baa or better by Moody’s Investors Service, Inc., or BBB or better by Fitch, Inc.;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more than one long-term rating applies to any Person or its securities, then the lowest rating shall apply and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lowest rating shall not be at least BBB or better by Standard &amp; Poor’s Ratings Services Group, a division of The McGraw-Hill Companies, Inc., Baa or better by Moody’s Investors Service, Inc., or BBB or better by Fitch, Inc., such Person shall not be considered to have an Investment Grade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6" w:name="page197"/>
    <w:bookmarkEnd w:id="196"/>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“L/C Issuer” </w:t>
      </w:r>
      <w:r>
        <w:rPr>
          <w:rFonts w:ascii="Times New Roman" w:cs="Times New Roman" w:eastAsia="Times New Roman" w:hAnsi="Times New Roman"/>
          <w:sz w:val="22"/>
          <w:szCs w:val="22"/>
          <w:color w:val="auto"/>
        </w:rPr>
        <w:t>means Coöperatieve Rabobank U.A., New York Branch, in each case in its capacity as the issuer of Letters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Credit hereunder, and its successors in such capacity as provided in Section 1.1(c)(viii) hereof.</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“L/C Obligations” </w:t>
      </w:r>
      <w:r>
        <w:rPr>
          <w:rFonts w:ascii="Times New Roman" w:cs="Times New Roman" w:eastAsia="Times New Roman" w:hAnsi="Times New Roman"/>
          <w:sz w:val="22"/>
          <w:szCs w:val="22"/>
          <w:color w:val="auto"/>
        </w:rPr>
        <w:t>means the aggregate undrawn face amounts of all outstanding Letters of Credit and all unpaid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Obligations.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“L/C Participation Fee” </w:t>
      </w:r>
      <w:r>
        <w:rPr>
          <w:rFonts w:ascii="Times New Roman" w:cs="Times New Roman" w:eastAsia="Times New Roman" w:hAnsi="Times New Roman"/>
          <w:sz w:val="22"/>
          <w:szCs w:val="22"/>
          <w:color w:val="auto"/>
        </w:rPr>
        <w:t>is defined in Section 2.1(b)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“L/C Sublimit” </w:t>
      </w:r>
      <w:r>
        <w:rPr>
          <w:rFonts w:ascii="Times New Roman" w:cs="Times New Roman" w:eastAsia="Times New Roman" w:hAnsi="Times New Roman"/>
          <w:sz w:val="22"/>
          <w:szCs w:val="22"/>
          <w:color w:val="auto"/>
        </w:rPr>
        <w:t>means $20,000,000, as reduced pursuant to the terms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“Legal Requirement” </w:t>
      </w:r>
      <w:r>
        <w:rPr>
          <w:rFonts w:ascii="Times New Roman" w:cs="Times New Roman" w:eastAsia="Times New Roman" w:hAnsi="Times New Roman"/>
          <w:sz w:val="22"/>
          <w:szCs w:val="22"/>
          <w:color w:val="auto"/>
        </w:rPr>
        <w:t>means any treaty, convention, statute, law, common law, rule regulation, ordinance, license,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approval, injunction, judgment, order, consent decree or other requirement of any governmental authority, whether foreign, federal, state, or local.</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means and includes Coöperatieve Rabobank U.A. and the other financial institutions from time to time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this Agreement, including each assignee Lender pursuant to Section 13.12 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“Lending Office” </w:t>
      </w:r>
      <w:r>
        <w:rPr>
          <w:rFonts w:ascii="Times New Roman" w:cs="Times New Roman" w:eastAsia="Times New Roman" w:hAnsi="Times New Roman"/>
          <w:sz w:val="22"/>
          <w:szCs w:val="22"/>
          <w:color w:val="auto"/>
        </w:rPr>
        <w:t>is defined in Section 10.3 hereof.</w:t>
      </w:r>
      <w:r>
        <w:rPr>
          <w:rFonts w:ascii="Times New Roman" w:cs="Times New Roman" w:eastAsia="Times New Roman" w:hAnsi="Times New Roman"/>
          <w:sz w:val="22"/>
          <w:szCs w:val="22"/>
          <w:i w:val="1"/>
          <w:iCs w:val="1"/>
          <w:color w:val="auto"/>
        </w:rPr>
        <w:t xml:space="preserve"> “Letter of Credit” </w:t>
      </w:r>
      <w:r>
        <w:rPr>
          <w:rFonts w:ascii="Times New Roman" w:cs="Times New Roman" w:eastAsia="Times New Roman" w:hAnsi="Times New Roman"/>
          <w:sz w:val="22"/>
          <w:szCs w:val="22"/>
          <w:color w:val="auto"/>
        </w:rPr>
        <w:t>is defined in Section 1.1(c)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Leverage Ratio</w:t>
      </w:r>
      <w:r>
        <w:rPr>
          <w:rFonts w:ascii="Times New Roman" w:cs="Times New Roman" w:eastAsia="Times New Roman" w:hAnsi="Times New Roman"/>
          <w:sz w:val="22"/>
          <w:szCs w:val="22"/>
          <w:color w:val="auto"/>
        </w:rPr>
        <w:t>” means, as of any date of determination, the ratio of (a) Total Adjusted Liabilities to (b) Tangible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Worth.</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“LIBOR” </w:t>
      </w:r>
      <w:r>
        <w:rPr>
          <w:rFonts w:ascii="Times New Roman" w:cs="Times New Roman" w:eastAsia="Times New Roman" w:hAnsi="Times New Roman"/>
          <w:sz w:val="22"/>
          <w:szCs w:val="22"/>
          <w:color w:val="auto"/>
        </w:rPr>
        <w:t>is defined in Section 1.2(b) hereof.</w:t>
      </w:r>
    </w:p>
    <w:p>
      <w:pPr>
        <w:spacing w:after="0" w:line="220"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“Lien” </w:t>
      </w:r>
      <w:r>
        <w:rPr>
          <w:rFonts w:ascii="Times New Roman" w:cs="Times New Roman" w:eastAsia="Times New Roman" w:hAnsi="Times New Roman"/>
          <w:sz w:val="21"/>
          <w:szCs w:val="21"/>
          <w:color w:val="auto"/>
        </w:rPr>
        <w:t>means any mortgage, lien, security interest, pledge, charge or encumbrance of any kind in respect of any Property,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the interests of a vendor or lessor under any conditional sale, Capital Lease or other title retention arrangement.</w:t>
      </w:r>
    </w:p>
    <w:p>
      <w:pPr>
        <w:spacing w:after="0" w:line="1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“Loan” </w:t>
      </w:r>
      <w:r>
        <w:rPr>
          <w:rFonts w:ascii="Times New Roman" w:cs="Times New Roman" w:eastAsia="Times New Roman" w:hAnsi="Times New Roman"/>
          <w:sz w:val="22"/>
          <w:szCs w:val="22"/>
          <w:color w:val="auto"/>
        </w:rPr>
        <w:t>means any Revolving Loan, whether outstanding as a Base Rate Loan or Eurodollar Loan or otherwise,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Loan hereunder.</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this Agreement, the Notes (if any), the Applications, the Collateral Documents, the Guaranties,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each other instrument or document to be delivered hereunder or thereunder or otherwise in connection therewith, including any instrument of document subordinating the Subordinated Debt to any Secured Obligations or any intercreditor agreement entered into with another creditor of the Borrower.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means the Borrower and the Guarantors.</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Management Fees</w:t>
      </w:r>
      <w:r>
        <w:rPr>
          <w:rFonts w:ascii="Times New Roman" w:cs="Times New Roman" w:eastAsia="Times New Roman" w:hAnsi="Times New Roman"/>
          <w:sz w:val="22"/>
          <w:szCs w:val="22"/>
          <w:color w:val="auto"/>
        </w:rPr>
        <w:t>” means all fees, charges and other amounts (including without limitation salaries and any other compensation such as bonuses, pensions and profit sharing payments) due and to become due to Holdings or any of its Affiliates in consideration for, directly or indirectly, management, consulting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97" w:name="page198"/>
    <w:bookmarkEnd w:id="197"/>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Market Value</w:t>
      </w:r>
      <w:r>
        <w:rPr>
          <w:rFonts w:ascii="Times New Roman" w:cs="Times New Roman" w:eastAsia="Times New Roman" w:hAnsi="Times New Roman"/>
          <w:sz w:val="21"/>
          <w:szCs w:val="21"/>
          <w:color w:val="auto"/>
        </w:rPr>
        <w:t>” means, with respect to any commodity (including an Eligible Commodity) on any date, the cash value of such commodity as internally recorded on the Borrower’s books and as determined in good faith by the Borrower based, determined on a cash basis by using prices (a) on the New York Mercantile Exchange, the COMEX, the London Metal Exchange, the New York Board of Trade, the International Petroleum Exchange, the Intercontinental Commodities Exchange, the Chicago Board of Trade, the Chicago Mercantile Exchange, NGX, PLATTS or, if a price for any such commodity (or delivery period, quality or location) is not available on such exchanges, such other markets or exchanges recognized as such in the commodities trading industry, including over-the-counter markets and private quotations, or as published in an independent industry recognized source or based on recent market transactions at market prices, in each case reasonably selected by the Borrower and approved by the Administrative Agent, (b) if such a price for any such commodity is not available in any market or exchange or other source described in clause (a) above, any other exchange or market or source reasonably selected by the Borrower and approved by the Administrative Agent on such date or (c) if such a price for any such commodity is not available in any market or exchange described in clauses (a) or (b) above, such other value determined pursuant to methodology reasonably selected by the Borrower (including recent market transactions) and reasonably satisfactory to the Administrative Agent.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 Risk Policy</w:t>
      </w:r>
      <w:r>
        <w:rPr>
          <w:rFonts w:ascii="Times New Roman" w:cs="Times New Roman" w:eastAsia="Times New Roman" w:hAnsi="Times New Roman"/>
          <w:sz w:val="22"/>
          <w:szCs w:val="22"/>
          <w:color w:val="auto"/>
        </w:rPr>
        <w:t>” means the market risk policy and market risk limits of Holdings and its Subsidiaries dated as of October 2019 heretofore delivered to the Administrative Agent, as such policy may hereafter be amended, modified or supplemented from time to time in accordance with this Agreement.</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a material adverse change in, or material adverse effect upon, the operations,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Property or condition (financial or otherwise) of the Borrower or of Holdings, the Borrower and the Borrower Subsidiaries taken as a whole, (b) a material impairment of the ability of Holdings, the Borrower or any Borrower Subsidiary to perform its material obligations under any Loan Document or (c) a material adverse effect upon (i) the legality, validity, binding effect or enforceability against Holdings, the Borrower or any Borrower Subsidiary of any Loan Document or the rights and remedies of the Administrative Agent and the Lenders thereunder or (ii) the perfection or priority of any Lien granted under any Collateral Document.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“Material Contract” </w:t>
      </w:r>
      <w:r>
        <w:rPr>
          <w:rFonts w:ascii="Times New Roman" w:cs="Times New Roman" w:eastAsia="Times New Roman" w:hAnsi="Times New Roman"/>
          <w:sz w:val="22"/>
          <w:szCs w:val="22"/>
          <w:color w:val="auto"/>
        </w:rPr>
        <w:t>means each Hedging Agreement, Purchase Agreement and any other agreement entered into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with respect or in connection with the foregoing, in each case that is included in determining eligibility requirements for purposes of the Borrowing Base.</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Merchants Plus Program”</w:t>
      </w:r>
      <w:r>
        <w:rPr>
          <w:rFonts w:ascii="Times New Roman" w:cs="Times New Roman" w:eastAsia="Times New Roman" w:hAnsi="Times New Roman"/>
          <w:sz w:val="22"/>
          <w:szCs w:val="22"/>
          <w:color w:val="auto"/>
        </w:rPr>
        <w:t xml:space="preserve"> refers to a program utilizing either (i) Merchants Plus Swap Contract; or (ii) a Forward Contract, pursuant to which program (a) there shall be a defined pricing period, over which the Borrower will enter into exchange traded futures and options, and OTC swaps and options, collectively “trades”, in an effort to achieve the pricing goals of the program strategy, (b) price adjustments will be made to the purchase price through reference to gains or losses recognized on these trades, (c) the final price of the committed quantity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198" w:name="page199"/>
    <w:bookmarkEnd w:id="198"/>
    <w:p>
      <w:pPr>
        <w:jc w:val="both"/>
        <w:spacing w:after="0" w:line="271" w:lineRule="auto"/>
        <w:rPr>
          <w:sz w:val="20"/>
          <w:szCs w:val="20"/>
          <w:color w:val="auto"/>
        </w:rPr>
      </w:pPr>
      <w:r>
        <w:rPr>
          <w:rFonts w:ascii="Times New Roman" w:cs="Times New Roman" w:eastAsia="Times New Roman" w:hAnsi="Times New Roman"/>
          <w:sz w:val="22"/>
          <w:szCs w:val="22"/>
          <w:color w:val="auto"/>
        </w:rPr>
        <w:t>commodity is established at the end of this period and (d) pricing based upon any trade is based upon the same or a highly correlated commodity as that which will be physically delivered and correlates in terms of volume.</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“Merchants Plus Swap Contract” </w:t>
      </w:r>
      <w:r>
        <w:rPr>
          <w:rFonts w:ascii="Times New Roman" w:cs="Times New Roman" w:eastAsia="Times New Roman" w:hAnsi="Times New Roman"/>
          <w:sz w:val="22"/>
          <w:szCs w:val="22"/>
          <w:color w:val="auto"/>
        </w:rPr>
        <w:t>means one or more swap transactions entered into between the Borrower and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unaffiliated counterparty that is a qualified “eligible contract participant” as defined in the Commodity Exchange Act and the regulations thereunder.</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Merchants Plus Swap Contract Equity</w:t>
      </w:r>
      <w:r>
        <w:rPr>
          <w:rFonts w:ascii="Times New Roman" w:cs="Times New Roman" w:eastAsia="Times New Roman" w:hAnsi="Times New Roman"/>
          <w:sz w:val="21"/>
          <w:szCs w:val="21"/>
          <w:color w:val="auto"/>
        </w:rPr>
        <w:t xml:space="preserve">” means, as of any date of determination and with respect to any Merchants Plus Swap Contract, the difference between (a) the floating price payable by counterparty under such Merchants Plus Swap Contract if settled on such date of determination, and (b) the Merchants Plus Program price payable by Borrower on the same settlement date under such Merchants Plus Swap Contract outstanding as of such date of determination (or such difference, in the aggregate, measured on such other basis as may be reasonably determined from time to time by the Borrower);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value of any outstanding Merchants Plus Swap Contract or Forward Contract shall be excluded from </w:t>
      </w:r>
      <w:r>
        <w:rPr>
          <w:rFonts w:ascii="Times New Roman" w:cs="Times New Roman" w:eastAsia="Times New Roman" w:hAnsi="Times New Roman"/>
          <w:sz w:val="21"/>
          <w:szCs w:val="21"/>
          <w:i w:val="1"/>
          <w:iCs w:val="1"/>
          <w:color w:val="auto"/>
        </w:rPr>
        <w:t>“Merchants Plus Swap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Contract Equity” </w:t>
      </w:r>
      <w:r>
        <w:rPr>
          <w:rFonts w:ascii="Times New Roman" w:cs="Times New Roman" w:eastAsia="Times New Roman" w:hAnsi="Times New Roman"/>
          <w:sz w:val="21"/>
          <w:szCs w:val="21"/>
          <w:color w:val="auto"/>
        </w:rPr>
        <w:t>to the extent that such outstanding Merchants Plus Swap Contract (i) is not a validly-executed contract that is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full force and effect; (ii) is a contract pursuant to which delivery is to be made more than twenty-four (24) months after the date of determination; (iii) is subject to any condition (other than the passage of time and tender of payment or goods) or dispute or with respect to which a known claim of offset or a contra account, or a defense or counterclaim, has been asserted by the counterparty; (iii) is subject to any Lien other than a Lien in favor of the Administrative Agent; (iv) is a contract that has been rolled, for a period of thirty (30) days or more, restructured, extended, amended or modified as a result of the inability of any party thereto (including the Borrower) to perform thereunder or (v) has a negative value from the Borrower’s perspective.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“Minimum Collateral Amount” </w:t>
      </w:r>
      <w:r>
        <w:rPr>
          <w:rFonts w:ascii="Times New Roman" w:cs="Times New Roman" w:eastAsia="Times New Roman" w:hAnsi="Times New Roman"/>
          <w:sz w:val="22"/>
          <w:szCs w:val="22"/>
          <w:color w:val="auto"/>
        </w:rPr>
        <w:t>means, at any time, (a) with respect to Cash Collateral consisting of cash or deposit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balances, an amount equal to 105% of the Fronting Exposure of all L/C Issuers with respect to Letters of Credit issued and outstanding at such time and (b) otherwise, an amount determined by the Administrative Agent and the L/C Issuer in their sole discretion and in compliance with requirements of the Commodity Exchange 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“Moody’s” </w:t>
      </w:r>
      <w:r>
        <w:rPr>
          <w:rFonts w:ascii="Times New Roman" w:cs="Times New Roman" w:eastAsia="Times New Roman" w:hAnsi="Times New Roman"/>
          <w:sz w:val="22"/>
          <w:szCs w:val="22"/>
          <w:color w:val="auto"/>
        </w:rPr>
        <w:t>means Moody’s Investors Service, Inc.</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means a multiemployer plan as defined in Section 4001(a)(3) of ERISA to which the Borrower or any member of the Controlled Group contributes, is obligated to contribute, or has any liability or contingent liability.</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“Net Hedging Value” </w:t>
      </w:r>
      <w:r>
        <w:rPr>
          <w:rFonts w:ascii="Times New Roman" w:cs="Times New Roman" w:eastAsia="Times New Roman" w:hAnsi="Times New Roman"/>
          <w:sz w:val="22"/>
          <w:szCs w:val="22"/>
          <w:color w:val="auto"/>
        </w:rPr>
        <w:t>means, at any time the same is to be determined with respect to a Hedging Account, the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(to the extent positive after giving effect to any netting agreements) that the Borrower would be entitled to receive if all Hedging Agreements maintained in such Hedging Account were terminated at such time.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“Non-Defaulting Lender” </w:t>
      </w:r>
      <w:r>
        <w:rPr>
          <w:rFonts w:ascii="Times New Roman" w:cs="Times New Roman" w:eastAsia="Times New Roman" w:hAnsi="Times New Roman"/>
          <w:sz w:val="22"/>
          <w:szCs w:val="22"/>
          <w:color w:val="auto"/>
        </w:rPr>
        <w:t>means, at any time, each Lender that is not a Defaulting Lender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“Notes” </w:t>
      </w:r>
      <w:r>
        <w:rPr>
          <w:rFonts w:ascii="Times New Roman" w:cs="Times New Roman" w:eastAsia="Times New Roman" w:hAnsi="Times New Roman"/>
          <w:sz w:val="22"/>
          <w:szCs w:val="22"/>
          <w:color w:val="auto"/>
        </w:rPr>
        <w:t>each is defined in Section 1.8 hereof.</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all obligations of the Borrower to pay principal and interest on the Loans, all Reimbursement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owing under the Applications, all fees and charges payable hereunder, and all other payment obligations of the Borrower or any of the Guarantors arising under or in relation to any Loan Document, in each case whether now existing or hereafter arising, due or to become due, direct or indirect, absolute or contingent, and howsoever evidenced, held or acquired.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United States Department of Treasury Office of Foreign Assets Control.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“OFAC Event” </w:t>
      </w:r>
      <w:r>
        <w:rPr>
          <w:rFonts w:ascii="Times New Roman" w:cs="Times New Roman" w:eastAsia="Times New Roman" w:hAnsi="Times New Roman"/>
          <w:sz w:val="22"/>
          <w:szCs w:val="22"/>
          <w:color w:val="auto"/>
        </w:rPr>
        <w:t>means the event specified in Section 8.23 hereof.</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“OTC Commodity Contract” </w:t>
      </w:r>
      <w:r>
        <w:rPr>
          <w:rFonts w:ascii="Times New Roman" w:cs="Times New Roman" w:eastAsia="Times New Roman" w:hAnsi="Times New Roman"/>
          <w:sz w:val="22"/>
          <w:szCs w:val="22"/>
          <w:color w:val="auto"/>
        </w:rPr>
        <w:t>means any Hedging Agreement (excluding any exchange-traded or exchange-cleared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 with respect to any Qualified Commodity to which the Borrower is a party.</w:t>
      </w:r>
    </w:p>
    <w:p>
      <w:pPr>
        <w:spacing w:after="0" w:line="1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“OTC Commodity Contract Equity” </w:t>
      </w:r>
      <w:r>
        <w:rPr>
          <w:rFonts w:ascii="Times New Roman" w:cs="Times New Roman" w:eastAsia="Times New Roman" w:hAnsi="Times New Roman"/>
          <w:sz w:val="21"/>
          <w:szCs w:val="21"/>
          <w:color w:val="auto"/>
        </w:rPr>
        <w:t>means, as of any date of determination, the Net Hedging Value (positive or negative)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the Borrower of all OTC Commodity Contracts to which the Borrower is a party, calculated on the basis of the contract terms between the counterparties, the Commodity Exchange Act, or such other basis as may be reasonably determined from time to time by the Administrative Agent (and, to the extent that such other basis would increase the amount thereof, consented to by the Lenders);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w:t>
      </w:r>
      <w:r>
        <w:rPr>
          <w:rFonts w:ascii="Times New Roman" w:cs="Times New Roman" w:eastAsia="Times New Roman" w:hAnsi="Times New Roman"/>
          <w:sz w:val="21"/>
          <w:szCs w:val="21"/>
          <w:i w:val="1"/>
          <w:iCs w:val="1"/>
          <w:color w:val="auto"/>
        </w:rPr>
        <w:t>OTC Commodity Contract Equity</w:t>
      </w:r>
      <w:r>
        <w:rPr>
          <w:rFonts w:ascii="Times New Roman" w:cs="Times New Roman" w:eastAsia="Times New Roman" w:hAnsi="Times New Roman"/>
          <w:sz w:val="21"/>
          <w:szCs w:val="21"/>
          <w:color w:val="auto"/>
        </w:rPr>
        <w:t>” shall exclude any Net Hedging Value arising from (a) a OTC Commodity Contract that is (i) not a validly-executed contract that is in full force and effect; (ii) subject to any condition (other than the passage of time, tender of payment or changes in prices or values with respect to the reference assets) or dispute or with respect which a known claim of offset or a contra account, or a defense or counterclaim, has been asserted by the counterparty with respect thereto; (iii) with a Person that is the subject of dissolution, liquidation, reorganization, receivership or bankruptcy proceedings or has gone out of business; (iv) with a Person (other than an Eligible OTC Counterparty) whose principal office is located outside the United States of America or with an Eligible OTC Counterparty who does not have an office within the United States; (v) the counterparty with respect thereto is not an Eligible OTC Counterparty; (vi) not subject to a duly perfected first priority Lien in favor of the Administrative Agent or is subject to any Liens (other than Liens in favor of the Administrative Agent) in favor of any Person other than the Administrative Agent; or (vii) a contract that has been rolled, restructured, extended, amended or modified as a result of the inability of any party thereto to perform thereunder or (b) the Eligible OTC Counterparty has not executed and delivered to the Administrative Agent such acknowledgments with respect to such OTC Commodity Contract which the Administrative Agent determines are necessary or desirable.</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“Other Eligible In-Transit Commodities” </w:t>
      </w:r>
      <w:r>
        <w:rPr>
          <w:rFonts w:ascii="Times New Roman" w:cs="Times New Roman" w:eastAsia="Times New Roman" w:hAnsi="Times New Roman"/>
          <w:sz w:val="22"/>
          <w:szCs w:val="22"/>
          <w:color w:val="auto"/>
        </w:rPr>
        <w:t>means all Eligible In-Transit Commodities other than Eligible In-Transit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Commodities (Afloat or Pipeline) and Eligible In-Transit Commodities (Truck, Barge or Rail).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0" w:name="page201"/>
    <w:bookmarkEnd w:id="200"/>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 of a present or former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“Other Taxes” </w:t>
      </w:r>
      <w:r>
        <w:rPr>
          <w:rFonts w:ascii="Times New Roman" w:cs="Times New Roman" w:eastAsia="Times New Roman" w:hAnsi="Times New Roman"/>
          <w:sz w:val="22"/>
          <w:szCs w:val="22"/>
          <w:color w:val="auto"/>
        </w:rPr>
        <w:t>means all present or future stamp, court or documentary, intangible, recording, filing or similar Taxes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1.11).</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“Participating Interest” </w:t>
      </w:r>
      <w:r>
        <w:rPr>
          <w:rFonts w:ascii="Times New Roman" w:cs="Times New Roman" w:eastAsia="Times New Roman" w:hAnsi="Times New Roman"/>
          <w:sz w:val="22"/>
          <w:szCs w:val="22"/>
          <w:color w:val="auto"/>
        </w:rPr>
        <w:t>is defined in Section 1.1(c)(v)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“Participating Lender” </w:t>
      </w:r>
      <w:r>
        <w:rPr>
          <w:rFonts w:ascii="Times New Roman" w:cs="Times New Roman" w:eastAsia="Times New Roman" w:hAnsi="Times New Roman"/>
          <w:sz w:val="22"/>
          <w:szCs w:val="22"/>
          <w:color w:val="auto"/>
        </w:rPr>
        <w:t>is defined in Section 1.1(c)(v)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Pension Benefit Guaranty Corporation or any Person succeeding to any or all of its functions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Accounts Receivables Sales</w:t>
      </w:r>
      <w:r>
        <w:rPr>
          <w:rFonts w:ascii="Times New Roman" w:cs="Times New Roman" w:eastAsia="Times New Roman" w:hAnsi="Times New Roman"/>
          <w:sz w:val="22"/>
          <w:szCs w:val="22"/>
          <w:color w:val="auto"/>
        </w:rPr>
        <w:t>” means transactions in which the Borrower sells on a non-recourse basis or limited recourse (for dilution satisfactory to the Administrative Agent) to any Lender or Affiliate thereof Receivables in which (a) the purchase price is required to be paid by the buyer pursuant to agreements executed by it to the Borrower in cash directly to a controlled account and (b) is on terms reasonably satisfactory to the Administrative Agent.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“Permitted Holders” </w:t>
      </w:r>
      <w:r>
        <w:rPr>
          <w:rFonts w:ascii="Times New Roman" w:cs="Times New Roman" w:eastAsia="Times New Roman" w:hAnsi="Times New Roman"/>
          <w:sz w:val="22"/>
          <w:szCs w:val="22"/>
          <w:color w:val="auto"/>
        </w:rPr>
        <w:t>means (a) Blackrock Institutional Trust Company, N.A. and (b) (i) Sean M. O’Connor or any of 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spouses or lineal descendants; (ii) the heirs, executors, administrators, testamentary trustees, legatees or beneficiaries of any of the foregoing; and (iii) any trust, the beneficiaries of which only include any of the foregoing or their respective spouses or lineal descendants.</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 association, trust, unincorporated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or any other entity or organization, including a government or agency or political subdivision thereof.</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any employee pension benefit plan as defined in Section 3(2) of ERISA (other than a Multiemployer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the provisions of Title IV of ERISA or the minimum funding standards under Section 412 of the Code or Section 302 of ERISA, and in respect of which the Borrower or any member of the Controlled Group is (or, if such plan were terminated, would under Section 4069 of ERISA be deemed to be) an “employer” as defined in Section 3(5) of ERISA.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Precious Metals</w:t>
      </w:r>
      <w:r>
        <w:rPr>
          <w:rFonts w:ascii="Times New Roman" w:cs="Times New Roman" w:eastAsia="Times New Roman" w:hAnsi="Times New Roman"/>
          <w:sz w:val="22"/>
          <w:szCs w:val="22"/>
          <w:color w:val="auto"/>
        </w:rPr>
        <w:t>” means Qualified Commodities consisting of Platinum and Pallidum.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1" w:name="page202"/>
    <w:bookmarkEnd w:id="201"/>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means, as to any Person, all types of real, personal, tangible, intangible or mixed property owned by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whether or not included in the most recent balance sheet of such Person and its subsidiaries under GAAP.</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Agreement</w:t>
      </w:r>
      <w:r>
        <w:rPr>
          <w:rFonts w:ascii="Times New Roman" w:cs="Times New Roman" w:eastAsia="Times New Roman" w:hAnsi="Times New Roman"/>
          <w:sz w:val="22"/>
          <w:szCs w:val="22"/>
          <w:color w:val="auto"/>
        </w:rPr>
        <w:t>” means either (i) an agreement whereby a Purchaser agrees to purchase Qualified Commodities from the Borrower at a later date, or (ii) a master commodities sale/repurchase agreement between the Borrower and a Purchaser, pursuant to which the Purchaser party thereto agrees to sell certain commodities to the Borrower and the Borrower agrees to purchase such commodities and then the Purchaser agrees to repurchase such commodities at a later date, together with, in each case with respect to clauses (i) and (ii), all agreements, documents and instruments related thereto, as such agreements, documents and instruments may be amended from time to time in accordance with the Credit and Collection Policy and the Market Risk Policy and in accordance with this Agreement.</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Purchaser</w:t>
      </w:r>
      <w:r>
        <w:rPr>
          <w:rFonts w:ascii="Times New Roman" w:cs="Times New Roman" w:eastAsia="Times New Roman" w:hAnsi="Times New Roman"/>
          <w:sz w:val="22"/>
          <w:szCs w:val="22"/>
          <w:color w:val="auto"/>
        </w:rPr>
        <w:t>” means each Person that is obligated to purchase Qualified Commodities from the Borrower, including any Person that is obligated to purchase previously sold such Qualified Commodities under a Purchase Agreement.</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“Qualified Commodity” </w:t>
      </w:r>
      <w:r>
        <w:rPr>
          <w:rFonts w:ascii="Times New Roman" w:cs="Times New Roman" w:eastAsia="Times New Roman" w:hAnsi="Times New Roman"/>
          <w:sz w:val="22"/>
          <w:szCs w:val="22"/>
          <w:color w:val="auto"/>
        </w:rPr>
        <w:t>means any physical commodity of the type described on Schedule 5.1 attached hereto (as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may be modified or supplemented in the Administrative Agent’s reasonable discretion) that is (or with respect to a physical commodity subject to a Forward Contract, will be upon delivery of such physical commodity): (a) on site and in storage within a storage facility operated by a Purchaser, in-transit to such storage facility, or with respect to Precious Metals subject to lease, such Precious Metal is in the possession of the lessee under such lease; and (b) fully insured against casualty loss while in a storage facility operated by a Purchaser or in-transit to such storage facility operated by a Purchaser, and such Purchaser or the Borrower has delivered to the Administrative Agent an insurance certificate naming the Administrative Agent as lender’s loss payable with respect to such Qualified Commodity. The foregoing notwithstanding, if any physical commodity is not on site and in storage within a storage facility operated by such Purchaser or in-transit, such physical commodity shall be deemed a Qualified Commodity if such physical commodity satisfies the other conditions set forth above and is stored at a storage facility acceptable to the Administrative Agent (in its sole discretion), and the Borrower, such Purchaser, or storage operator provides an insurance certificate to the Administrative Agent evidencing that such physical commodity is fully insured against casualty loss while in storage and naming the Administrative Agent as loss payee.</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ECP Guarantor</w:t>
      </w:r>
      <w:r>
        <w:rPr>
          <w:rFonts w:ascii="Times New Roman" w:cs="Times New Roman" w:eastAsia="Times New Roman" w:hAnsi="Times New Roman"/>
          <w:sz w:val="22"/>
          <w:szCs w:val="22"/>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2" w:name="page203"/>
    <w:bookmarkEnd w:id="202"/>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“Receivables” </w:t>
      </w:r>
      <w:r>
        <w:rPr>
          <w:rFonts w:ascii="Times New Roman" w:cs="Times New Roman" w:eastAsia="Times New Roman" w:hAnsi="Times New Roman"/>
          <w:sz w:val="22"/>
          <w:szCs w:val="22"/>
          <w:color w:val="auto"/>
        </w:rPr>
        <w:t>means all rights to the payment of a monetary obligation, now or hereafter owing, whether evidenced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accounts, instruments, chattel paper, or general intangibles.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(a) the Administrative Agent, (b) any Lender, and (c) any L/C Issuer,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“Reimbursement Obligation” </w:t>
      </w:r>
      <w:r>
        <w:rPr>
          <w:rFonts w:ascii="Times New Roman" w:cs="Times New Roman" w:eastAsia="Times New Roman" w:hAnsi="Times New Roman"/>
          <w:sz w:val="22"/>
          <w:szCs w:val="22"/>
          <w:color w:val="auto"/>
        </w:rPr>
        <w:t>is defined in Section 1.1(c)(iii)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Renewable Identification Numbers</w:t>
      </w:r>
      <w:r>
        <w:rPr>
          <w:rFonts w:ascii="Times New Roman" w:cs="Times New Roman" w:eastAsia="Times New Roman" w:hAnsi="Times New Roman"/>
          <w:sz w:val="22"/>
          <w:szCs w:val="22"/>
          <w:color w:val="auto"/>
        </w:rPr>
        <w:t>” means renewable identification numbers issued by the U.S. Environmental Protection Agency to track renewable transportation fuels.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“Required Lenders” </w:t>
      </w:r>
      <w:r>
        <w:rPr>
          <w:rFonts w:ascii="Times New Roman" w:cs="Times New Roman" w:eastAsia="Times New Roman" w:hAnsi="Times New Roman"/>
          <w:sz w:val="21"/>
          <w:szCs w:val="21"/>
          <w:color w:val="auto"/>
        </w:rPr>
        <w:t>means, as of the date of determination thereof, (i) in the event there are two (2) Lenders, 100%, and</w:t>
      </w:r>
    </w:p>
    <w:p>
      <w:pPr>
        <w:spacing w:after="0" w:line="43" w:lineRule="exact"/>
        <w:rPr>
          <w:sz w:val="20"/>
          <w:szCs w:val="20"/>
          <w:color w:val="auto"/>
        </w:rPr>
      </w:pPr>
    </w:p>
    <w:p>
      <w:pPr>
        <w:ind w:firstLine="8"/>
        <w:spacing w:after="0" w:line="248" w:lineRule="auto"/>
        <w:tabs>
          <w:tab w:leader="none" w:pos="34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there are more than two (2) Lenders, Lenders whose outstanding Loans and Unused Commitments constitute more than 50% of the sum of the total outstanding Loans and Unused Commitments of the Lenders.</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means the chief executive officer, president, vice president, chief financial officer, treasurer,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assistant treasurer or controller of the Borrower.</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“Revolver Percentage” </w:t>
      </w:r>
      <w:r>
        <w:rPr>
          <w:rFonts w:ascii="Times New Roman" w:cs="Times New Roman" w:eastAsia="Times New Roman" w:hAnsi="Times New Roman"/>
          <w:sz w:val="22"/>
          <w:szCs w:val="22"/>
          <w:color w:val="auto"/>
        </w:rPr>
        <w:t>means, for each Lender with a Revolving Commitment, the percentage of the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represented by such Lender’s Revolving Commitment or, if the Revolving Commitments have been terminated, the percentage held by such Lender of the aggregate principal amount of all Revolving Loans then outstanding.</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“Revolving Commitment” </w:t>
      </w:r>
      <w:r>
        <w:rPr>
          <w:rFonts w:ascii="Times New Roman" w:cs="Times New Roman" w:eastAsia="Times New Roman" w:hAnsi="Times New Roman"/>
          <w:sz w:val="22"/>
          <w:szCs w:val="22"/>
          <w:color w:val="auto"/>
        </w:rPr>
        <w:t>means, as to any Lender, the obligation of such Lender to make Revolving Loans and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participate in Letters of Credit issued for the account of the Borrower hereunder in an aggregate principal or face amount at any one time outstanding not to exceed the amount set forth opposite such Lender’s name on Schedule 1 attached hereto and made a part hereof, as the same may be reduced or modified at any time or from time to time pursuant to the terms hereof. The Borrower and the Lenders acknowledge and agree that the Revolving Commitments of the Lenders as of the Closing Date aggregate $260,000,000.</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“Revolving Loan” </w:t>
      </w:r>
      <w:r>
        <w:rPr>
          <w:rFonts w:ascii="Times New Roman" w:cs="Times New Roman" w:eastAsia="Times New Roman" w:hAnsi="Times New Roman"/>
          <w:sz w:val="22"/>
          <w:szCs w:val="22"/>
          <w:color w:val="auto"/>
        </w:rPr>
        <w:t>is defined in Section 1.1(a) and, as so defined, includes a Base Rate Loan or a Eurodollar Loan,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Revolving Loan hereunder.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“S&amp;P” </w:t>
      </w:r>
      <w:r>
        <w:rPr>
          <w:rFonts w:ascii="Times New Roman" w:cs="Times New Roman" w:eastAsia="Times New Roman" w:hAnsi="Times New Roman"/>
          <w:sz w:val="22"/>
          <w:szCs w:val="22"/>
          <w:color w:val="auto"/>
        </w:rPr>
        <w:t>means Standard &amp; Poor’s Ratings Services Group, a division of The McGraw-Hill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3" w:name="page204"/>
    <w:bookmarkEnd w:id="203"/>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“Sanctioned Country” </w:t>
      </w:r>
      <w:r>
        <w:rPr>
          <w:rFonts w:ascii="Times New Roman" w:cs="Times New Roman" w:eastAsia="Times New Roman" w:hAnsi="Times New Roman"/>
          <w:sz w:val="22"/>
          <w:szCs w:val="22"/>
          <w:color w:val="auto"/>
        </w:rPr>
        <w:t>means at any time, a country or territory which is itself the subject or target of any Sanctions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without limitation, Crimea, Cuba, Iran, North Korea and Syria).</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“Sanctioned Person” </w:t>
      </w:r>
      <w:r>
        <w:rPr>
          <w:rFonts w:ascii="Times New Roman" w:cs="Times New Roman" w:eastAsia="Times New Roman" w:hAnsi="Times New Roman"/>
          <w:sz w:val="22"/>
          <w:szCs w:val="22"/>
          <w:color w:val="auto"/>
        </w:rPr>
        <w:t>means, at any time, any Person owned or controlled by Persons that are: (i) the subject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Sanctions, or (ii) located, organized or resident in a region, country or territory that is, or whose government is, the subject of Sanctions, including, without limitation, currently the Region of Crimea, Cuba, Iran, North Korea, and Syria.</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“Sanctions” </w:t>
      </w:r>
      <w:r>
        <w:rPr>
          <w:rFonts w:ascii="Times New Roman" w:cs="Times New Roman" w:eastAsia="Times New Roman" w:hAnsi="Times New Roman"/>
          <w:sz w:val="22"/>
          <w:szCs w:val="22"/>
          <w:color w:val="auto"/>
        </w:rPr>
        <w:t>means any sanctions administered by or enforced by the U.S. Department of the Treasury’s Office of Foreign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Assets Control, the U.S. Department of State, the United Nations Security Council, the European Union, Her Majesty’s Treasury, the Netherlands, or other relevant sanctions authority.</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“Secured Obligations” </w:t>
      </w:r>
      <w:r>
        <w:rPr>
          <w:rFonts w:ascii="Times New Roman" w:cs="Times New Roman" w:eastAsia="Times New Roman" w:hAnsi="Times New Roman"/>
          <w:sz w:val="22"/>
          <w:szCs w:val="22"/>
          <w:color w:val="auto"/>
        </w:rPr>
        <w:t>means the Obligations, Hedging Liability, and Funds Transfer and Deposit Account Liability,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case whether now existing or hereafter arising, due or to become due, direct or indirect, absolute or contingent, and howsoever evidenced, held or acquired (including all interest, costs, fees, and charges after the entry of an order for relief against the Borrower or any Guarantor in a case under the United States Bankruptcy Code or any similar proceeding, whether or not such interest, costs, fees and charges would be an allowed claim against such Loan Party in any such proceeding);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with respect to any Guarantor, Secured Obligations Guaranteed by such Guarantor shall exclude all Excluded Swap Obligations.</w:t>
      </w:r>
    </w:p>
    <w:p>
      <w:pPr>
        <w:spacing w:after="0" w:line="18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that certain Second Amended and Restated Security Agreement dated as of the date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between the Borrower and the Administrative Agent, as the same may be amended, modified, supplemented or restated from time to time.</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“Subordinated Debt” </w:t>
      </w:r>
      <w:r>
        <w:rPr>
          <w:rFonts w:ascii="Times New Roman" w:cs="Times New Roman" w:eastAsia="Times New Roman" w:hAnsi="Times New Roman"/>
          <w:sz w:val="22"/>
          <w:szCs w:val="22"/>
          <w:color w:val="auto"/>
        </w:rPr>
        <w:t>means Indebtedness for Borrowed Money which is subordinated in right of payment to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of the Secured Obligations pursuant to subordination provisions approved in writing by the Administrative Agent and is otherwise pursuant to documentation that is, which is in an amount that is, and which contains interest rates, payment terms, maturities, amortization schedules, covenants, defaults, remedies and other material terms that are in form and substance, in each case satisfactory to the Administrative Agent.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as to any particular parent corporation or organization, any other corporation or organization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50% of the outstanding Voting Stock of which is at the time directly or indirectly owned by such parent corporation or organization or by any one or more other entities which are themselves subsidiaries of such parent corporation or organization.</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“Tangible Net Worth” </w:t>
      </w:r>
      <w:r>
        <w:rPr>
          <w:rFonts w:ascii="Times New Roman" w:cs="Times New Roman" w:eastAsia="Times New Roman" w:hAnsi="Times New Roman"/>
          <w:sz w:val="22"/>
          <w:szCs w:val="22"/>
          <w:color w:val="auto"/>
        </w:rPr>
        <w:t>means, at any time the same is to be determined, an amount equal to (a) the excess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Borrower’s assets over all its liabilities and reserves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4" w:name="page205"/>
    <w:bookmarkEnd w:id="204"/>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accordance with GAAP,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principal amount of the Holdings Subordinated Debt at such time. For purposes hereof, assets shall exclude (i) goodwill and other intangible items and (ii) advances and loans to and investments in Holdings, the Borrower Subsidiaries and Affiliates of the Borrower, including advances and loans to Holdings permitted pursuant to Section 8.9(h) hereof and investments in and loans to joint ventures permitted by Section 8.9(j) hereof.</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 (including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 assessments, fees or other charges imposed by any Governmental Authority, including any interest, additions to tax or penalties applicable thereto.</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 the forward-looking term rate based on SOFR that has been selected or recommended by the Relevant Governmental Body.</w:t>
      </w:r>
    </w:p>
    <w:p>
      <w:pPr>
        <w:spacing w:after="0" w:line="4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“Termination Date” </w:t>
      </w:r>
      <w:r>
        <w:rPr>
          <w:rFonts w:ascii="Times New Roman" w:cs="Times New Roman" w:eastAsia="Times New Roman" w:hAnsi="Times New Roman"/>
          <w:sz w:val="22"/>
          <w:szCs w:val="22"/>
          <w:color w:val="auto"/>
        </w:rPr>
        <w:t>means January 29, 2022, or such earlier date on which the Commitments are terminated in whole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1.10, 9.2 or 9.3 hereof.</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“Total Adjusted Liabilities” </w:t>
      </w:r>
      <w:r>
        <w:rPr>
          <w:rFonts w:ascii="Times New Roman" w:cs="Times New Roman" w:eastAsia="Times New Roman" w:hAnsi="Times New Roman"/>
          <w:sz w:val="22"/>
          <w:szCs w:val="22"/>
          <w:color w:val="auto"/>
        </w:rPr>
        <w:t>means, at any time the same is to be determined, an amount equal to (i) the aggregate of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indebtedness, obligations, liabilities, reserves and any other items which would be listed as a liability on a balance sheet of the Borrower determined in accordance with GAAP,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 the aggregate principal amount of Subordinated Debt,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(iii) the unrealized losses (determined on a netting basis) relating to the Borrower’s Hedging Agreements for financial and physically settled commodities.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“Trust Receipt” </w:t>
      </w:r>
      <w:r>
        <w:rPr>
          <w:rFonts w:ascii="Times New Roman" w:cs="Times New Roman" w:eastAsia="Times New Roman" w:hAnsi="Times New Roman"/>
          <w:sz w:val="22"/>
          <w:szCs w:val="22"/>
          <w:color w:val="auto"/>
        </w:rPr>
        <w:t>means a trust receipt in form and substance satisfactory to the Administrative Agent relating to tangible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negotiable documents of title covering Qualified Commodities delivered by the Administrative Agent to the Borrower or any other Person for the purpose of (a) the ultimate sale or exchange of such Qualified Commodity, or (b) the loading, unloading, storing, shipping, transshipping, manufacturing, or otherwise dealing with such Qualified Commodities in a manner preliminary to their sale or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Uniform Commercial Code of the State of New York as in effect from time to time.</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Benchmark Replacement excluding the Benchmark Replacement Adjustment.</w:t>
      </w:r>
    </w:p>
    <w:p>
      <w:pPr>
        <w:spacing w:after="0" w:line="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“Unused Commitments” </w:t>
      </w:r>
      <w:r>
        <w:rPr>
          <w:rFonts w:ascii="Times New Roman" w:cs="Times New Roman" w:eastAsia="Times New Roman" w:hAnsi="Times New Roman"/>
          <w:sz w:val="22"/>
          <w:szCs w:val="22"/>
          <w:color w:val="auto"/>
        </w:rPr>
        <w:t>means, at any time, the difference between the Revolving Commitments then in effect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aggregate outstanding principal amount of Revolving Loans and L/C Obligations.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“U.S. 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each means the lawful currency of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assigned to such term in subsection (f) of Section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5" w:name="page206"/>
    <w:bookmarkEnd w:id="205"/>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“Voting Stock” </w:t>
      </w:r>
      <w:r>
        <w:rPr>
          <w:rFonts w:ascii="Times New Roman" w:cs="Times New Roman" w:eastAsia="Times New Roman" w:hAnsi="Times New Roman"/>
          <w:sz w:val="22"/>
          <w:szCs w:val="22"/>
          <w:color w:val="auto"/>
        </w:rPr>
        <w:t>of any Person means capital stock or other equity interests of any class or classes (however designated)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having ordinary power for the election of directors or other similar governing body of such Person, other than stock or other equity interests having such power only by reason of the happening of a contingency.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“Welfare Plan” </w:t>
      </w:r>
      <w:r>
        <w:rPr>
          <w:rFonts w:ascii="Times New Roman" w:cs="Times New Roman" w:eastAsia="Times New Roman" w:hAnsi="Times New Roman"/>
          <w:sz w:val="22"/>
          <w:szCs w:val="22"/>
          <w:color w:val="auto"/>
        </w:rPr>
        <w:t>means a “welfare plan” as defined in Section 3(1) of ERISA.</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“Wholly-owned Subsidiary” </w:t>
      </w:r>
      <w:r>
        <w:rPr>
          <w:rFonts w:ascii="Times New Roman" w:cs="Times New Roman" w:eastAsia="Times New Roman" w:hAnsi="Times New Roman"/>
          <w:sz w:val="22"/>
          <w:szCs w:val="22"/>
          <w:color w:val="auto"/>
        </w:rPr>
        <w:t>means a Subsidiary of which all of the issued and outstanding shares of capital stock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directors’ qualifying shares as required by law) or other equity interests are owned by the Borrower and/or one or more Wholly-owned Subsidiaries within the meaning of this definition.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“Withholding Agent” </w:t>
      </w:r>
      <w:r>
        <w:rPr>
          <w:rFonts w:ascii="Times New Roman" w:cs="Times New Roman" w:eastAsia="Times New Roman" w:hAnsi="Times New Roman"/>
          <w:sz w:val="22"/>
          <w:szCs w:val="22"/>
          <w:color w:val="auto"/>
        </w:rPr>
        <w:t>means the Borrower, any Guarantor and the Administrative Agent.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b. Interpretation</w:t>
      </w:r>
      <w:r>
        <w:rPr>
          <w:rFonts w:ascii="Times New Roman" w:cs="Times New Roman" w:eastAsia="Times New Roman" w:hAnsi="Times New Roman"/>
          <w:sz w:val="22"/>
          <w:szCs w:val="22"/>
          <w:color w:val="auto"/>
        </w:rPr>
        <w:t>. The foregoing definitions are equally applicable to both the singular and plural forms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18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c. Change in Accounting Principles</w:t>
      </w:r>
      <w:r>
        <w:rPr>
          <w:rFonts w:ascii="Times New Roman" w:cs="Times New Roman" w:eastAsia="Times New Roman" w:hAnsi="Times New Roman"/>
          <w:sz w:val="22"/>
          <w:szCs w:val="22"/>
          <w:color w:val="auto"/>
        </w:rPr>
        <w:t>. If, after the date of this Agreement, there shall occur any change in GAAP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those used in the preparation of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6" w:name="page207"/>
    <w:bookmarkEnd w:id="206"/>
    <w:p>
      <w:pPr>
        <w:jc w:val="both"/>
        <w:spacing w:after="0" w:line="245" w:lineRule="auto"/>
        <w:rPr>
          <w:sz w:val="20"/>
          <w:szCs w:val="20"/>
          <w:color w:val="auto"/>
        </w:rPr>
      </w:pPr>
      <w:r>
        <w:rPr>
          <w:rFonts w:ascii="Times New Roman" w:cs="Times New Roman" w:eastAsia="Times New Roman" w:hAnsi="Times New Roman"/>
          <w:sz w:val="22"/>
          <w:szCs w:val="22"/>
          <w:color w:val="auto"/>
        </w:rPr>
        <w:t>statements referred to in Section 6.5 hereof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Holdings, the Borrower and the Borrower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Section d. Divisions</w:t>
      </w:r>
      <w:r>
        <w:rPr>
          <w:rFonts w:ascii="Times New Roman" w:cs="Times New Roman" w:eastAsia="Times New Roman" w:hAnsi="Times New Roman"/>
          <w:sz w:val="21"/>
          <w:szCs w:val="21"/>
          <w:color w:val="auto"/>
        </w:rPr>
        <w:t>. For all purposes under the Loan Documents, in connection with any division or plan of division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REPRESENTATIONS AND WARRANTIES.</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Borrower represents and warrants to the Administrative Agent and the Lenders as follows:</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a. Organization and Qualification</w:t>
      </w:r>
      <w:r>
        <w:rPr>
          <w:rFonts w:ascii="Times New Roman" w:cs="Times New Roman" w:eastAsia="Times New Roman" w:hAnsi="Times New Roman"/>
          <w:sz w:val="22"/>
          <w:szCs w:val="22"/>
          <w:color w:val="auto"/>
        </w:rPr>
        <w:t>. The Borrower is duly organized, validly existing, and in good standing 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limited liability company under the laws of the State of Delaware,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b. Holdings and Borrower Subsidiaries</w:t>
      </w:r>
      <w:r>
        <w:rPr>
          <w:rFonts w:ascii="Times New Roman" w:cs="Times New Roman" w:eastAsia="Times New Roman" w:hAnsi="Times New Roman"/>
          <w:sz w:val="22"/>
          <w:szCs w:val="22"/>
          <w:color w:val="auto"/>
        </w:rPr>
        <w:t>. Holdings and each Borrower Subsidiary is duly organized, validly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and in 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 Schedule 6.2 hereto identifies the Borrower and each Borrower Subsidiary, the jurisdiction of its organization, the percentage of issued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59" w:lineRule="auto"/>
        <w:rPr>
          <w:sz w:val="20"/>
          <w:szCs w:val="20"/>
          <w:color w:val="auto"/>
        </w:rPr>
      </w:pPr>
      <w:r>
        <w:rPr>
          <w:rFonts w:ascii="Times New Roman" w:cs="Times New Roman" w:eastAsia="Times New Roman" w:hAnsi="Times New Roman"/>
          <w:sz w:val="21"/>
          <w:szCs w:val="21"/>
          <w:color w:val="auto"/>
        </w:rPr>
        <w:t>outstanding shares of each class of its capital stock or other equity interests owned by Holdings, the Borrower and the Borrower Subsidiaries (for Holdings, solely with respect to the Borrower and Borrower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the Borrower and each Borrower Subsidiary are validly issued and outstanding and fully paid and nonassessable and all such shares and other equity interests indicated on Schedule 6.2 as owned by Holdings, the Borrower or the Borrower Subsidiaries are owned, beneficially and of record, by Holdings, the Borrower or the applicable Borrower Subsidiary free and clear of all Liens other than Liens permitted by Section 8.8 hereof. There are no outstanding commitments or other obligations of the Borrower or any Borrower Subsidiary to issue, and no options, warrants or other rights of any Person to acquire, any shares of any class of capital stock or other equity interests of the Borrower or any Borrower Subsidiary.</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c. Authority and Validity of Obligations</w:t>
      </w:r>
      <w:r>
        <w:rPr>
          <w:rFonts w:ascii="Times New Roman" w:cs="Times New Roman" w:eastAsia="Times New Roman" w:hAnsi="Times New Roman"/>
          <w:sz w:val="22"/>
          <w:szCs w:val="22"/>
          <w:color w:val="auto"/>
        </w:rPr>
        <w:t>. The Borrower has full right and authority to enter into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other Loan Documents executed by it, to make the borrowings herein provided for, to grant to the Administrative Agent the Liens described in the Collateral Documents executed by the Borrower, and to perform all of its obligations hereunder and under the other Loan Documents executed by it. Holdings and each Borrower Subsidiary has full right and authority to enter into the Loan Documents executed by it, to guarantee the Obligations and Funds Transfer and Deposit Account Liability, to grant to the Administrative Agent the Liens described in the Collateral Documents executed by such Person (if any), and to perform all of its obligations under the Loan Documents executed by it. The Loan Documents delivered by Holdings, the Borrower and the Borrower Subsidiaries have been duly authorized, executed, and delivered by such Persons and constitute valid and binding obligations of Holdings, the Borrower and the Borrower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Holdings, the Borrower or any Borrower Subsidiary of any of the matters and things herein or therein provided for, (a) contravene or constitute a default under any provision of law or any judgment, injunction, order or decree binding upon Holdings, the Borrower or any Borrower Subsidiary or any provision of the organizational documents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charter, certificate or articles of incorporation and by-laws, certificate or articles of association and operating agreement, partnership agreement, or other similar organizational documents) of Holdings, the Borrower or any Borrower Subsidiary, (b) contravene or constitute a default under any covenant, indenture or agreement of or affecting Holdings, the Borrower or any Borrower Subsidiary or any of their Property, in each case where such contravention or default, individually or in the aggregate, could reasonably be expected to have a Material Adverse Effect, or (c) result in the creation or imposition of any Lien on any Property of Holdings, the Borrower or any Borrower Subsidiary other than the Liens granted in favor of the Administrative Agent pursuant to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08" w:name="page209"/>
    <w:bookmarkEnd w:id="208"/>
    <w:p>
      <w:pPr>
        <w:jc w:val="both"/>
        <w:ind w:firstLine="648"/>
        <w:spacing w:after="0" w:line="259" w:lineRule="auto"/>
        <w:rPr>
          <w:sz w:val="20"/>
          <w:szCs w:val="20"/>
          <w:color w:val="auto"/>
        </w:rPr>
      </w:pPr>
      <w:r>
        <w:rPr>
          <w:rFonts w:ascii="Times New Roman" w:cs="Times New Roman" w:eastAsia="Times New Roman" w:hAnsi="Times New Roman"/>
          <w:sz w:val="21"/>
          <w:szCs w:val="21"/>
          <w:i w:val="1"/>
          <w:iCs w:val="1"/>
          <w:color w:val="auto"/>
        </w:rPr>
        <w:t>Section d. Use of Proceeds; Margin Stock</w:t>
      </w:r>
      <w:r>
        <w:rPr>
          <w:rFonts w:ascii="Times New Roman" w:cs="Times New Roman" w:eastAsia="Times New Roman" w:hAnsi="Times New Roman"/>
          <w:sz w:val="21"/>
          <w:szCs w:val="21"/>
          <w:color w:val="auto"/>
        </w:rPr>
        <w:t>. The Borrower shall use the proceeds of the Revolving Loans (i) to refinance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existing indebtedness of the Borrower, (ii) to pay fees and expenses relating to this Agreement, and (iii) for working capital and general corporate purposes; provided, that Borrower shall not use such proceeds to do any of the foregoing relating to Qualified Commodities consisting of non-agriculture related commodities if the use of such proceeds would cause the daily average amount of Revolving Loans used to finance metals in the preceding 12 months to exceed 50% of daily average amount of Revolving Loans during such period. None of Holdings, the Borrower or any Borrower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Holdings, the Borrower and the Borrower Subsidiaries which are subject to any limitation on sale, pledge or other restriction hereunder.</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e. Financial Reports</w:t>
      </w:r>
      <w:r>
        <w:rPr>
          <w:rFonts w:ascii="Times New Roman" w:cs="Times New Roman" w:eastAsia="Times New Roman" w:hAnsi="Times New Roman"/>
          <w:sz w:val="22"/>
          <w:szCs w:val="22"/>
          <w:color w:val="auto"/>
        </w:rPr>
        <w:t>. The unaudited balance sheet of the Borrower as at September 30, 2019, and the related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statement of the Borrower for the fiscal year then ended, and the unaudited interim balance sheet of the Borrower as at June 30, 2019, and the related income statement of the Borrower and for the 6 months then ended, heretofore furnished to the Administrative Agent and the Lenders fairly present the financial condition of the Borrower as at said dates and the results of its operations for the periods then ended in conformity with GAAP applied on a consistent basis (except that interim statements omit any footnotes to the information contained therein and do not reflect certain adjustments which would be reflected on the annual certified financial statements). Except as disclosed on Schedule 6.5 hereto, the Borrower has no contingent liabilities which are material to it other than as indicated on such financial statements or, with respect to future periods, on the financial statements furnished pursuant to Section 8.5 hereof.</w:t>
      </w:r>
    </w:p>
    <w:p>
      <w:pPr>
        <w:spacing w:after="0" w:line="185" w:lineRule="exact"/>
        <w:rPr>
          <w:sz w:val="20"/>
          <w:szCs w:val="20"/>
          <w:color w:val="auto"/>
        </w:rPr>
      </w:pPr>
    </w:p>
    <w:p>
      <w:pPr>
        <w:jc w:val="both"/>
        <w:ind w:left="1300" w:firstLine="534"/>
        <w:spacing w:after="0" w:line="248" w:lineRule="auto"/>
        <w:rPr>
          <w:sz w:val="20"/>
          <w:szCs w:val="20"/>
          <w:color w:val="auto"/>
        </w:rPr>
      </w:pPr>
      <w:r>
        <w:rPr>
          <w:rFonts w:ascii="Times New Roman" w:cs="Times New Roman" w:eastAsia="Times New Roman" w:hAnsi="Times New Roman"/>
          <w:sz w:val="22"/>
          <w:szCs w:val="22"/>
          <w:color w:val="auto"/>
        </w:rPr>
        <w:t>i.The Annual Report on Form 10-K for the fiscal year ended September 30, 2019 has been prepared in accordance with GAAP on a basis consistent, except as otherwise noted therein, with that of the previous fiscal year or period and fairly reflect the financial position of Holdings as of the dates thereof, and the results of operations for the periods covered thereby. Except as disclosed on Schedule 6.5 hereto, Holdings does not have contingent liabilities which are material to it other than as indicated on such financial statements or, with respect to future periods, on the financial statements furnished pursuant to Section 8.5 hereof.</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Section f. No Material Adverse Change. </w:t>
      </w:r>
      <w:r>
        <w:rPr>
          <w:rFonts w:ascii="Times New Roman" w:cs="Times New Roman" w:eastAsia="Times New Roman" w:hAnsi="Times New Roman"/>
          <w:sz w:val="22"/>
          <w:szCs w:val="22"/>
          <w:color w:val="auto"/>
        </w:rPr>
        <w:t>Since September 30, 2019, there has been no change in the condition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or business prospects of Holdings, the Borrower or any Borrower Subsidiary except those occurring in the ordinary course of business or disclosed in the financial reports identified in Section 6.5(ii) hereof or another form of written disclosure to the Lenders prior to the date of this Agreement, none of which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09" w:name="page210"/>
    <w:bookmarkEnd w:id="209"/>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g. Full Disclosure</w:t>
      </w:r>
      <w:r>
        <w:rPr>
          <w:rFonts w:ascii="Times New Roman" w:cs="Times New Roman" w:eastAsia="Times New Roman" w:hAnsi="Times New Roman"/>
          <w:sz w:val="22"/>
          <w:szCs w:val="22"/>
          <w:color w:val="auto"/>
        </w:rPr>
        <w:t>. The statements and information furnished to the Administrative Agent and the Lenders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negotiation of this Agreement and the other Loan Documents and the commitments by the Lenders to provide all or part of the financing contemplated hereby do not contain any untrue statements of a material fact or omit a material fact necessary to make the material statements contained herein or therein not misleading, the Administrative Agent and the Lenders acknowledging that as to any projections furnished to the Administrative Agent and the Lenders, the Borrower only represents that the same were prepared on the basis of information and estimates the Borrower believed to be reasonable. The information included in the Beneficial Ownership Certification is true and correct in all respects.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h. Trademarks, Franchises, and Licenses</w:t>
      </w:r>
      <w:r>
        <w:rPr>
          <w:rFonts w:ascii="Times New Roman" w:cs="Times New Roman" w:eastAsia="Times New Roman" w:hAnsi="Times New Roman"/>
          <w:sz w:val="22"/>
          <w:szCs w:val="22"/>
          <w:color w:val="auto"/>
        </w:rPr>
        <w:t>. Holdings, the Borrower and the Borrower Subsidiaries own, possess,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have the right to use all material patents, licenses, franchises, trademarks, trade names, trade styles, copyrights, trade secrets, know how, and confidential commercial and proprietary information necessary to conduct their businesses as now conducted, without known conflict with any patent, license, franchise, trademark, trade name, trade style, copyright or other proprietary right of any other Person.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i. Governmental Authority and Licensing</w:t>
      </w:r>
      <w:r>
        <w:rPr>
          <w:rFonts w:ascii="Times New Roman" w:cs="Times New Roman" w:eastAsia="Times New Roman" w:hAnsi="Times New Roman"/>
          <w:sz w:val="22"/>
          <w:szCs w:val="22"/>
          <w:color w:val="auto"/>
        </w:rPr>
        <w:t>. Holdings, the Borrower and the Borrower Subsidiaries have received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licenses, permits, and approvals of all foreign, federal, state, and local governmental authorities, if any, necessary to conduct their businesses, in each case where the failure to obtain or maintain the same could reasonably be expected to have a Material Adverse Effect. No investigation or proceeding which, if adversely determined, could reasonably be expected to result in revocation or denial of any material license, permit or approval is pending or, to the knowledge of the Borrower, threatened.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j. Good Title</w:t>
      </w:r>
      <w:r>
        <w:rPr>
          <w:rFonts w:ascii="Times New Roman" w:cs="Times New Roman" w:eastAsia="Times New Roman" w:hAnsi="Times New Roman"/>
          <w:sz w:val="22"/>
          <w:szCs w:val="22"/>
          <w:color w:val="auto"/>
        </w:rPr>
        <w:t>. Holdings, the Borrower and the Borrower Subsidiaries have good and defensible title (or valid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leasehold interests) to their assets as reflected on the most recent consolidated balance sheet of Holdings, the Borrower and the Borrower Subsidiaries furnished to the Administrative Agent and the Lenders (except for sales of assets in the ordinary course of business), subject to no Liens other than such thereof as are permitted by Section 8.8 hereof.</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k. Litigation and Other Controversies. </w:t>
      </w:r>
      <w:r>
        <w:rPr>
          <w:rFonts w:ascii="Times New Roman" w:cs="Times New Roman" w:eastAsia="Times New Roman" w:hAnsi="Times New Roman"/>
          <w:sz w:val="22"/>
          <w:szCs w:val="22"/>
          <w:color w:val="auto"/>
        </w:rPr>
        <w:t>There is no litigation or governmental or arbitration proceeding or labor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controversy pending, nor to the knowledge of the Borrower threatened, against Holdings, the Borrower or any Borrower Subsidiary or any of their Property which if adversely determined, individually or in the aggregate, could reasonably be expected to have a Material Adverse Effect. Items disclosed in the financial reports identified in Section 6.5(ii) and in Holdings’ Annual Report on Form 10-K for the fiscal year ended September 30, 2015 are not reasonably expected to have a Material Adverse Effect.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l. Taxes</w:t>
      </w:r>
      <w:r>
        <w:rPr>
          <w:rFonts w:ascii="Times New Roman" w:cs="Times New Roman" w:eastAsia="Times New Roman" w:hAnsi="Times New Roman"/>
          <w:sz w:val="22"/>
          <w:szCs w:val="22"/>
          <w:color w:val="auto"/>
        </w:rPr>
        <w:t>. All material tax returns required to be filed by Holdings, the Borrower or any Borrower Subsidiary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jurisdiction have, in fact, been filed, and all material taxes, assessments, fees, and other governmental charges upon Holdings, the Borrower or any Borrower Subsidiary or upon any of its Property, income or franchises, which are shown to be due and payable in such returns, have been paid, except such taxes, assessments,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10" w:name="page211"/>
    <w:bookmarkEnd w:id="210"/>
    <w:p>
      <w:pPr>
        <w:jc w:val="both"/>
        <w:spacing w:after="0" w:line="248" w:lineRule="auto"/>
        <w:rPr>
          <w:sz w:val="20"/>
          <w:szCs w:val="20"/>
          <w:color w:val="auto"/>
        </w:rPr>
      </w:pPr>
      <w:r>
        <w:rPr>
          <w:rFonts w:ascii="Times New Roman" w:cs="Times New Roman" w:eastAsia="Times New Roman" w:hAnsi="Times New Roman"/>
          <w:sz w:val="22"/>
          <w:szCs w:val="22"/>
          <w:color w:val="auto"/>
        </w:rPr>
        <w:t>governmental charges, if any, as are being contested in good faith and by appropriate proceedings which prevent enforcement of the matter under contest and as to which adequate reserves established in accordance with GAAP have been provided. Neither Holdings nor the Borrower knows of any proposed additional tax assessment against Holdings, the Borrower or the Borrower Subsidiaries for which adequate provisions in accordance with GAAP have not been made on their accounts. Adequate provisions in accordance with GAAP for taxes on the books of Holdings, the Borrower and each Borrower Subsidiary have been made for all open years, and for its current fiscal period.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i w:val="1"/>
          <w:iCs w:val="1"/>
          <w:color w:val="auto"/>
        </w:rPr>
        <w:t>Section m. Approvals</w:t>
      </w:r>
      <w:r>
        <w:rPr>
          <w:rFonts w:ascii="Times New Roman" w:cs="Times New Roman" w:eastAsia="Times New Roman" w:hAnsi="Times New Roman"/>
          <w:sz w:val="21"/>
          <w:szCs w:val="21"/>
          <w:color w:val="auto"/>
        </w:rPr>
        <w:t>. No authorization, consent, license or exemption from, or filing or registration with, any court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governmental department, agency or instrumentality, nor any approval or consent of any other Person, is or will be necessary to the valid execution, delivery or performance by Holdings, the Borrower or any Borrower Subsidiary of any Loan Document, except for (i) such approvals which have been obtained prior to the date of this Agreement and remain in full force and effect and</w:t>
      </w:r>
    </w:p>
    <w:p>
      <w:pPr>
        <w:spacing w:after="0" w:line="4" w:lineRule="exact"/>
        <w:rPr>
          <w:sz w:val="20"/>
          <w:szCs w:val="20"/>
          <w:color w:val="auto"/>
        </w:rPr>
      </w:pPr>
    </w:p>
    <w:p>
      <w:pPr>
        <w:ind w:right="20" w:firstLine="8"/>
        <w:spacing w:after="0" w:line="248" w:lineRule="auto"/>
        <w:tabs>
          <w:tab w:leader="none" w:pos="31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all financing statements, mortgages, and other documents necessary to perfect the Administrative Agent’s Lien in the Collateral.</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n. Affiliate Transactions. </w:t>
      </w:r>
      <w:r>
        <w:rPr>
          <w:rFonts w:ascii="Times New Roman" w:cs="Times New Roman" w:eastAsia="Times New Roman" w:hAnsi="Times New Roman"/>
          <w:sz w:val="22"/>
          <w:szCs w:val="22"/>
          <w:color w:val="auto"/>
        </w:rPr>
        <w:t>None of Holdings, the Borrower or any Borrower Subsidiary is a party to any contracts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agreements with any of its Affiliates (other than with Wholly-owned Borrower Subsidiaries) on terms and conditions which are less favorable to Holdings, the Borrower or such Borrower Subsidiary than would be usual and customary in similar contracts or agreements between Persons not affiliated with each other.</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o. Investment Company. </w:t>
      </w:r>
      <w:r>
        <w:rPr>
          <w:rFonts w:ascii="Times New Roman" w:cs="Times New Roman" w:eastAsia="Times New Roman" w:hAnsi="Times New Roman"/>
          <w:sz w:val="22"/>
          <w:szCs w:val="22"/>
          <w:color w:val="auto"/>
        </w:rPr>
        <w:t>None of Holdings, the Borrower or any Borrower Subsidiary is an “investment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 company “controlled” by an “investment company” within the meaning of the Investment Company Act of 1940, as amended.</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p. ERISA</w:t>
      </w:r>
      <w:r>
        <w:rPr>
          <w:rFonts w:ascii="Times New Roman" w:cs="Times New Roman" w:eastAsia="Times New Roman" w:hAnsi="Times New Roman"/>
          <w:sz w:val="22"/>
          <w:szCs w:val="22"/>
          <w:color w:val="auto"/>
        </w:rPr>
        <w:t>. No ERISA Event has occurred or is reasonably expected to occur that, when taken together with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such ERISA Events for which liability is reasonably expected to occur, could reasonably be expected to result in a material liability to Holdings, the Borrower, or any Borrower Subsidiary. Each of Holdings, the Borrower and each other member of its respective Controlled Group has complied with the Funding Rules with respect to each Plan, and no waiver of the minimum funding requirements under the Funding Rules has been applied for or obtained. None of Holdings, the Borrower or any Borrower Subsidiary has any contingent liabilities with respect to any post-retirement benefits under a Welfare Plan, other than liability for continuation coverage described in article 6 of Title I of ERISA.</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q. Compliance with Laws</w:t>
      </w:r>
      <w:r>
        <w:rPr>
          <w:rFonts w:ascii="Times New Roman" w:cs="Times New Roman" w:eastAsia="Times New Roman" w:hAnsi="Times New Roman"/>
          <w:sz w:val="22"/>
          <w:szCs w:val="22"/>
          <w:color w:val="auto"/>
        </w:rPr>
        <w:t>. Holdings, the Borrower and the Borrower Subsidiaries are in compliance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of all foreign,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 Holdings, the Borrower and the Borrower Subsidiaries will maintain in effect policies and procedures reasonably designed to promote compliance by Holdings,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1" w:name="page212"/>
    <w:bookmarkEnd w:id="211"/>
    <w:p>
      <w:pPr>
        <w:jc w:val="both"/>
        <w:spacing w:after="0" w:line="263" w:lineRule="auto"/>
        <w:rPr>
          <w:sz w:val="20"/>
          <w:szCs w:val="20"/>
          <w:color w:val="auto"/>
        </w:rPr>
      </w:pPr>
      <w:r>
        <w:rPr>
          <w:rFonts w:ascii="Times New Roman" w:cs="Times New Roman" w:eastAsia="Times New Roman" w:hAnsi="Times New Roman"/>
          <w:sz w:val="21"/>
          <w:szCs w:val="21"/>
          <w:color w:val="auto"/>
        </w:rPr>
        <w:t>and the Borrower Subsidiaries and their respective directors, officers, employees and agents with applicable Anti-Terrorism Laws and Anti-Corruption Laws. None of Holdings, the Borrower or any Borrower Subsidiary has received written notice to the effect that its operations are not in compliance with any of the requirements of applicable foreign, federal, state or local environmental, health, and safety statutes and regulations or is the subject of any governmental investigation evaluating whether any remedial action is needed to respond to a release of any toxic or hazardous waste or substance into the environment, where any such non-compliance or remedial action, individually or in the aggregate, could reasonably be expected to have a Material Adverse Effect.</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r. Anti-Corruption Laws and Sanctions</w:t>
      </w:r>
      <w:r>
        <w:rPr>
          <w:rFonts w:ascii="Times New Roman" w:cs="Times New Roman" w:eastAsia="Times New Roman" w:hAnsi="Times New Roman"/>
          <w:sz w:val="22"/>
          <w:szCs w:val="22"/>
          <w:color w:val="auto"/>
        </w:rPr>
        <w:t>. None of (a) Holdings, the Borrower or any Borrower Subsidiary 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knowledge of Holdings or the Borrower, any of their respective directors, officers, employees or affiliates, or (b) to the knowledge of Holdings or the Borrower, any agent or representative of Holdings, the Borrower or any Borrower Subsidiary that will act in any capacity in connection with or benefit from the credit facility established hereby, is a Sanctioned Person or currently the subject or target of any Sanctions. Holdings, the Borrower or any Borrower Subsidiary and, to the knowledge of Holdings or the Borrower, any of their respective directors, officers, employees or affiliates, are in compliance (in all material respects) with all applicable (i) Anti-Corruption Laws, (ii) Sanctions and (iii) Anti-Terrorism Laws.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s. Other Agreements</w:t>
      </w:r>
      <w:r>
        <w:rPr>
          <w:rFonts w:ascii="Times New Roman" w:cs="Times New Roman" w:eastAsia="Times New Roman" w:hAnsi="Times New Roman"/>
          <w:sz w:val="22"/>
          <w:szCs w:val="22"/>
          <w:color w:val="auto"/>
        </w:rPr>
        <w:t>. None of Holdings, the Borrower or any Borrower Subsidiary is in default under the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covenant, indenture or agreement of or affecting such Person or any of its Property, which default if uncured could reasonably be expected to have a Material Adverse Effect.</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t. Solvency</w:t>
      </w:r>
      <w:r>
        <w:rPr>
          <w:rFonts w:ascii="Times New Roman" w:cs="Times New Roman" w:eastAsia="Times New Roman" w:hAnsi="Times New Roman"/>
          <w:sz w:val="22"/>
          <w:szCs w:val="22"/>
          <w:color w:val="auto"/>
        </w:rPr>
        <w:t>. Holdings, Borrower and the Borrower Subsidiaries are solvent, able to pay their debts as they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due, and have sufficient capital to carry on their business and all businesses in which they are about to engage.</w:t>
      </w:r>
    </w:p>
    <w:p>
      <w:pPr>
        <w:spacing w:after="0" w:line="14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u.</w:t>
      </w:r>
      <w:r>
        <w:rPr>
          <w:sz w:val="20"/>
          <w:szCs w:val="20"/>
          <w:color w:val="auto"/>
        </w:rPr>
        <w:tab/>
      </w:r>
      <w:r>
        <w:rPr>
          <w:rFonts w:ascii="Times New Roman" w:cs="Times New Roman" w:eastAsia="Times New Roman" w:hAnsi="Times New Roman"/>
          <w:sz w:val="21"/>
          <w:szCs w:val="21"/>
          <w:i w:val="1"/>
          <w:iCs w:val="1"/>
          <w:color w:val="auto"/>
        </w:rPr>
        <w:t xml:space="preserve">No Default. </w:t>
      </w:r>
      <w:r>
        <w:rPr>
          <w:rFonts w:ascii="Times New Roman" w:cs="Times New Roman" w:eastAsia="Times New Roman" w:hAnsi="Times New Roman"/>
          <w:sz w:val="21"/>
          <w:szCs w:val="21"/>
          <w:color w:val="auto"/>
        </w:rPr>
        <w:t>No Default or Event of Default has occurred and is continuing.</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v. No Broker Fees</w:t>
      </w:r>
      <w:r>
        <w:rPr>
          <w:rFonts w:ascii="Times New Roman" w:cs="Times New Roman" w:eastAsia="Times New Roman" w:hAnsi="Times New Roman"/>
          <w:sz w:val="22"/>
          <w:szCs w:val="22"/>
          <w:color w:val="auto"/>
        </w:rPr>
        <w:t>. No broker’s or finder’s fee or commission will be payable with respect hereto or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transactions contemplated thereby; and the Borrower hereby agrees to indemnify the Administrative Agent and the Lenders against, and agree that they will hold the Administrative Agent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spacing w:after="0" w:line="17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w. Material Contracts. </w:t>
      </w:r>
      <w:r>
        <w:rPr>
          <w:rFonts w:ascii="Times New Roman" w:cs="Times New Roman" w:eastAsia="Times New Roman" w:hAnsi="Times New Roman"/>
          <w:sz w:val="22"/>
          <w:szCs w:val="22"/>
          <w:color w:val="auto"/>
        </w:rPr>
        <w:t>Each of the Borrower and each Borrower Subsidiary has entered into and is performing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duties under each Material Contract in accordance with the Credit and Collection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2" w:name="page213"/>
    <w:bookmarkEnd w:id="212"/>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x. Collateral Locations</w:t>
      </w:r>
      <w:r>
        <w:rPr>
          <w:rFonts w:ascii="Times New Roman" w:cs="Times New Roman" w:eastAsia="Times New Roman" w:hAnsi="Times New Roman"/>
          <w:sz w:val="22"/>
          <w:szCs w:val="22"/>
          <w:color w:val="auto"/>
        </w:rPr>
        <w:t>. The Qualified Commodities are stored at locations that follow industry best practices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terms of storage for such Qualified Commodities.</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y. Security Documents. </w:t>
      </w:r>
      <w:r>
        <w:rPr>
          <w:rFonts w:ascii="Times New Roman" w:cs="Times New Roman" w:eastAsia="Times New Roman" w:hAnsi="Times New Roman"/>
          <w:sz w:val="22"/>
          <w:szCs w:val="22"/>
          <w:color w:val="auto"/>
        </w:rPr>
        <w:t>The provisions of the Security Agreement is or upon execution will be effective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create in favor of the Administrative Agent a legal, valid and enforceable first-priority Lien on all right, title and interest of each Loan Party in the Collateral described therein. Except for filings completed on or prior to the Closings Date and as contemplated hereby and by the Security Documents, no filing or other action will be necessary to perfect or protect such Lien.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z. No Burdensome Restriction. </w:t>
      </w:r>
      <w:r>
        <w:rPr>
          <w:rFonts w:ascii="Times New Roman" w:cs="Times New Roman" w:eastAsia="Times New Roman" w:hAnsi="Times New Roman"/>
          <w:sz w:val="22"/>
          <w:szCs w:val="22"/>
          <w:color w:val="auto"/>
        </w:rPr>
        <w:t>No Loan Party nor any of its Subsidiaries is a party to or bound by any provision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security issued by such Person or of any agreement, instrument or other undertaking to which such Person is a party or by which it or any of its property is bound, or subject to any restriction in its organizational documents or any applicable law or regulation of any Governmental Authority, which could reasonably be expected to have a Material Adverse Effect.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CONDITIONS PRECEDENT.</w:t>
      </w:r>
    </w:p>
    <w:p>
      <w:pPr>
        <w:spacing w:after="0" w:line="2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a.</w:t>
        <w:tab/>
        <w:t>All Credit Events</w:t>
      </w:r>
      <w:r>
        <w:rPr>
          <w:rFonts w:ascii="Times New Roman" w:cs="Times New Roman" w:eastAsia="Times New Roman" w:hAnsi="Times New Roman"/>
          <w:sz w:val="22"/>
          <w:szCs w:val="22"/>
          <w:color w:val="auto"/>
        </w:rPr>
        <w:t>. At the time of each Credit Event hereunder (including any Credit Event on the Closing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jc w:val="both"/>
        <w:ind w:left="660" w:firstLine="644"/>
        <w:spacing w:after="0" w:line="257" w:lineRule="auto"/>
        <w:tabs>
          <w:tab w:leader="none" w:pos="195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set forth herein and in the other Loan Documents shall be and remain true and correct as of said time, except to the extent the same expressly relate to an earlier date, in which case they shall be true and correct as of such earlier date;</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occur as a result of such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Event;</w:t>
      </w:r>
    </w:p>
    <w:p>
      <w:pPr>
        <w:spacing w:after="0" w:line="19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Borrowing the Administrative Agent shall have received the notice required by Section 1.4</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95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Credit Event, the aggregate principal amount of all Loans and the L/C Obligations then outstanding does not exceed the lesser of (i) the Commitment and (ii) the Borrowing Base, and the Borrower shall have delivered to the Administrative Agent a certificate in the form attached hereto as Exhibit A in evidence thereof;</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13" w:name="page214"/>
    <w:bookmarkEnd w:id="213"/>
    <w:p>
      <w:pPr>
        <w:jc w:val="both"/>
        <w:spacing w:after="0" w:line="257" w:lineRule="auto"/>
        <w:rPr>
          <w:sz w:val="20"/>
          <w:szCs w:val="20"/>
          <w:color w:val="auto"/>
        </w:rPr>
      </w:pPr>
      <w:r>
        <w:rPr>
          <w:rFonts w:ascii="Times New Roman" w:cs="Times New Roman" w:eastAsia="Times New Roman" w:hAnsi="Times New Roman"/>
          <w:sz w:val="22"/>
          <w:szCs w:val="22"/>
          <w:color w:val="auto"/>
        </w:rPr>
        <w:t>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(d), both inclusive, of this Section.</w:t>
      </w:r>
    </w:p>
    <w:p>
      <w:pPr>
        <w:spacing w:after="0" w:line="1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b. Conditions to the Effectiveness of this Agreement. </w:t>
      </w:r>
      <w:r>
        <w:rPr>
          <w:rFonts w:ascii="Times New Roman" w:cs="Times New Roman" w:eastAsia="Times New Roman" w:hAnsi="Times New Roman"/>
          <w:sz w:val="22"/>
          <w:szCs w:val="22"/>
          <w:color w:val="auto"/>
        </w:rPr>
        <w:t>This Agreement shall become effective upon satisfaction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following conditions:</w:t>
      </w:r>
    </w:p>
    <w:p>
      <w:pPr>
        <w:spacing w:after="0" w:line="153" w:lineRule="exact"/>
        <w:rPr>
          <w:sz w:val="20"/>
          <w:szCs w:val="20"/>
          <w:color w:val="auto"/>
        </w:rPr>
      </w:pPr>
    </w:p>
    <w:p>
      <w:pPr>
        <w:ind w:left="660" w:firstLine="644"/>
        <w:spacing w:after="0" w:line="271"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this Agreement duly executed by the Borrower, the Guarantors, and the Lenders;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any Lender, the Administrative Agent shall have received for such Lender such Lender’s duly executed Notes of the Borrower dated the date hereof and otherwise in compliance with the provisions of Section 1.8 hereof;</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Security Agreement duly executed by the Borrower, together with (i) UCC financing statements to be filed against the Borrower, as debtor, in favor of the Administrative Agent, as secured party and (ii) to the extent a Borrowing is requested on the Closing Date, (A) documents of title together with all necessary endorsements with respect to the Eligible Commodities included in the Borrowing Base (to the extent required under the applicable component of the Borrowing Base), and (B) all commodity account control agreements for all Eligible Hedging Accounts, and all other action has been taken, that the Administrative Agent deems necessary or desirable in order to create, in favor of the Administrative Agent on behalf of the secured parties, a perfected first-priority Lien on the Collateral described in the Security Agreement, subject to no other than Liens permitted by Section 8.8 hereof;</w:t>
      </w:r>
    </w:p>
    <w:p>
      <w:pPr>
        <w:spacing w:after="0" w:line="190"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insurance insuring the Eligible Commodities and naming the Administrative Agent as lender’s loss payable;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Borrower’s and each Guarantor’s articles of incorporation and bylaws (or comparable organizational documents) and any amendments thereto, certified in each instance by its Secretary or Assistant Secretary;</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resolutions of the Borrower’s and each Guarantor’s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Guarantor’s behalf, all certified in each instance by its Secretary or Assistant Secretary;</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certificates of good standing for the Borrower and each Guarantor (dated no earlier than thirty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4" w:name="page215"/>
    <w:bookmarkEnd w:id="214"/>
    <w:p>
      <w:pPr>
        <w:ind w:left="660"/>
        <w:spacing w:after="0" w:line="271" w:lineRule="auto"/>
        <w:rPr>
          <w:sz w:val="20"/>
          <w:szCs w:val="20"/>
          <w:color w:val="auto"/>
        </w:rPr>
      </w:pPr>
      <w:r>
        <w:rPr>
          <w:rFonts w:ascii="Times New Roman" w:cs="Times New Roman" w:eastAsia="Times New Roman" w:hAnsi="Times New Roman"/>
          <w:sz w:val="22"/>
          <w:szCs w:val="22"/>
          <w:color w:val="auto"/>
        </w:rPr>
        <w:t>prior to the date hereof) from the office of the secretary of the state of its incorporation or organization and of each state in which it is qualified to do business as a foreign corporation or organization;</w:t>
      </w:r>
    </w:p>
    <w:p>
      <w:pPr>
        <w:spacing w:after="0" w:line="158" w:lineRule="exact"/>
        <w:rPr>
          <w:sz w:val="20"/>
          <w:szCs w:val="20"/>
          <w:color w:val="auto"/>
        </w:rPr>
      </w:pPr>
    </w:p>
    <w:p>
      <w:pPr>
        <w:ind w:left="1960" w:hanging="656"/>
        <w:spacing w:after="0"/>
        <w:tabs>
          <w:tab w:leader="none" w:pos="19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list of the Borrower’s Authorized Representatives;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L/C Issuer shall have received such evaluations and certifications as it may reasonably require in order to satisfy itself as to the value of the Collateral, the financial condition of the Borrower and the Guarantors, and the lack of material contingent liabilities of the Borrower and the Guarantors;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financing statement, tax, and judgment lien search results against the Property of the Borrower and each Guarantor evidencing the absence of Liens on its Property except as permitted by Section 8.8 hereof;</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favorable written opinion of counsel to the Borrower and each Guarantor, in form and substance satisfactory to the Administrative Agent;</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on file with the Administrative Agent, the Administrative Agent shall have received a fully executed Internal Revenue Service Form W-9 for the Borrower and each Guarantor;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 in the business, condition (financial or otherwise), operations, performance, or Properties of the Borrower or any Guarantor shall have occurred since September 30, 2019, that has caused or could reasonably be expected to cause a Material Adverse Effect;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all Material Contracts (or the Borrower’s standard form of such contacts) as the Administrative Agent may request from time to time, which shall be in form and substance satisfactory to the Administrative Agent;</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Credit and Collection Policy and the Market Risk Policy, each of which shall be in form and substance satisfactory to the Administrative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Existing Agreement and to the extent such secured Indebtedness for Borrowed Money is not permitted hereunder, the Administrative Agent shall have received pay-off and lien release letters from secured creditors of the Borrower setting forth, among other things, the total amount of indebtedness outstanding and owing to them (or outstanding letters of credit issued for the account of the Borrower) and containing an undertaking to cause to be delivered to the Administrative Agent UCC termination statements and any other lien release instruments necessary to release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5" w:name="page216"/>
    <w:bookmarkEnd w:id="215"/>
    <w:p>
      <w:pPr>
        <w:ind w:left="660" w:right="20"/>
        <w:spacing w:after="0" w:line="271" w:lineRule="auto"/>
        <w:rPr>
          <w:sz w:val="20"/>
          <w:szCs w:val="20"/>
          <w:color w:val="auto"/>
        </w:rPr>
      </w:pPr>
      <w:r>
        <w:rPr>
          <w:rFonts w:ascii="Times New Roman" w:cs="Times New Roman" w:eastAsia="Times New Roman" w:hAnsi="Times New Roman"/>
          <w:sz w:val="22"/>
          <w:szCs w:val="22"/>
          <w:color w:val="auto"/>
        </w:rPr>
        <w:t>Liens on the assets of the Borrower, which pay-off and lien release letters shall be in form and substance acceptable to the Administrative Agent;</w:t>
      </w:r>
    </w:p>
    <w:p>
      <w:pPr>
        <w:spacing w:after="0" w:line="158" w:lineRule="exact"/>
        <w:rPr>
          <w:sz w:val="20"/>
          <w:szCs w:val="20"/>
          <w:color w:val="auto"/>
        </w:rPr>
      </w:pPr>
    </w:p>
    <w:p>
      <w:pPr>
        <w:ind w:left="1960" w:hanging="656"/>
        <w:spacing w:after="0"/>
        <w:tabs>
          <w:tab w:leader="none" w:pos="19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fees required by the fee letter referenced in Section 2.1(c)</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jc w:val="both"/>
        <w:ind w:left="660" w:firstLine="644"/>
        <w:spacing w:after="0" w:line="257"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set forth herein and in the other Loan Documents shall be and remain true and correct as of said time, except to the extent the same expressly relate to an earlier date, in which case they shall be true and correct as of such earlier date;</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occur as a result of such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Event;</w:t>
      </w:r>
    </w:p>
    <w:p>
      <w:pPr>
        <w:spacing w:after="0" w:line="195"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Borrowing Base Certificate dated no more than five (5) Business Days prior to the Closing Date, showing the computation of the Borrowing Base in reasonable detail;</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and each Lender at least five (5) days prior to the Closing Date (i) all documents, certificates, and other information requested by each Lender required by bank regulatory authorities under applicable “know-your-customer” and anti-money laundering regulations, including the Act, and (ii) a Beneficial Ownership Certification;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have become aware of any information or other matter affecting any Loan Party or the transactions contemplated hereby, which in the Administrative Agent’s judgment is inconsistent, in a material adverse manner, with any such information or other matter disclosed to or reviewed by the Administrative Agent prior to the Closing Date, which could reasonably be expected to have had a materially adverse effect on the interests and credit decision of the Administrative Agent;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from the Borrower attaching a duly executed copy of an amendment to, and waiver of certain existing defaults under, the INTL BOA Facility in form and substance satisfactory to the Administrative Agent, and certifying that any conditions to the effectiveness of such amendment and waiver shall have been satisfied; and</w:t>
      </w:r>
    </w:p>
    <w:p>
      <w:pPr>
        <w:spacing w:after="0" w:line="179"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agreements, instruments, documents, certificates, and opinions as the Administrative Agent may reasonably request.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COVENANTS.</w:t>
      </w:r>
    </w:p>
    <w:p>
      <w:pPr>
        <w:spacing w:after="0" w:line="220" w:lineRule="exact"/>
        <w:rPr>
          <w:sz w:val="20"/>
          <w:szCs w:val="20"/>
          <w:color w:val="auto"/>
        </w:rPr>
      </w:pPr>
    </w:p>
    <w:p>
      <w:pPr>
        <w:ind w:left="80" w:right="140" w:firstLine="648"/>
        <w:spacing w:after="0" w:line="271" w:lineRule="auto"/>
        <w:rPr>
          <w:sz w:val="20"/>
          <w:szCs w:val="20"/>
          <w:color w:val="auto"/>
        </w:rPr>
      </w:pPr>
      <w:r>
        <w:rPr>
          <w:rFonts w:ascii="Times New Roman" w:cs="Times New Roman" w:eastAsia="Times New Roman" w:hAnsi="Times New Roman"/>
          <w:sz w:val="22"/>
          <w:szCs w:val="22"/>
          <w:color w:val="auto"/>
        </w:rPr>
        <w:t>The Borrower agrees that, so long as any credit is available to or in use by the Borrower hereunder, except to the extent compliance in any case or cases is waived in writing pursuant to the terms of Section 13.13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6" w:name="page217"/>
    <w:bookmarkEnd w:id="216"/>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Section a. Maintenance of Business. </w:t>
      </w:r>
      <w:r>
        <w:rPr>
          <w:rFonts w:ascii="Times New Roman" w:cs="Times New Roman" w:eastAsia="Times New Roman" w:hAnsi="Times New Roman"/>
          <w:sz w:val="22"/>
          <w:szCs w:val="22"/>
          <w:color w:val="auto"/>
        </w:rPr>
        <w:t>Holdings and the Borrower shall, and shall cause each Borrower Subsidiary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preserve and maintain its existence, except as otherwise provided in Section 8.10(c) hereof. Holdings and the Borrower shall, and shall cause each Borrower Subsidiary to, preserve and keep in force and effect all licenses, permits, franchises, approvals, patents, trademarks, trade names, trade styles, copyrights, and other proprietary rights necessary to the proper conduct of its business where the failure to do so could reasonably be expected to have a Material Adverse Effect.</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b. Maintenance of Properties. </w:t>
      </w:r>
      <w:r>
        <w:rPr>
          <w:rFonts w:ascii="Times New Roman" w:cs="Times New Roman" w:eastAsia="Times New Roman" w:hAnsi="Times New Roman"/>
          <w:sz w:val="22"/>
          <w:szCs w:val="22"/>
          <w:color w:val="auto"/>
        </w:rPr>
        <w:t>Holdings and the Borrower shall, and shall cause each Borrower Subsidiary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except (i) to the extent that, in the reasonable business judgment of such Person, any such Property is no longer necessary for the proper conduct of the business of such Person or (ii) where failure to do so could reasonably be expected to have a Material Adverse Effect.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c. Taxes and Assessment</w:t>
      </w:r>
      <w:r>
        <w:rPr>
          <w:rFonts w:ascii="Times New Roman" w:cs="Times New Roman" w:eastAsia="Times New Roman" w:hAnsi="Times New Roman"/>
          <w:sz w:val="22"/>
          <w:szCs w:val="22"/>
          <w:color w:val="auto"/>
        </w:rPr>
        <w:t>s. Each of Holdings and the Borrower shall file, and shall cause each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to file all tax returns required to be filed in any jurisdiction. Each of Holdings and the Borrower shall duly pay and discharge, and shall cause each Borrower Subsidiary to duly pay and discharge, all taxes, rates, assessments, fees, and governmental 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 in accordance with GAAP.</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d. Insurance. </w:t>
      </w:r>
      <w:r>
        <w:rPr>
          <w:rFonts w:ascii="Times New Roman" w:cs="Times New Roman" w:eastAsia="Times New Roman" w:hAnsi="Times New Roman"/>
          <w:sz w:val="22"/>
          <w:szCs w:val="22"/>
          <w:color w:val="auto"/>
        </w:rPr>
        <w:t>Each of Holdings and the Borrower shall insure and keep insured, and shall cause each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each of Holdings and the Borrower shall insure, and shall cause each Borrower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in any event maintain, and cause each Subsidiary to maintain, insurance on the Collateral to the extent required by the Collateral Documents. The Borrower shall, upon the request of the Administrative Agent, furnish to the Administrative Agent and the Lenders a certificate setting forth in summary form the nature and extent of the insurance maintained pursuant to this Section.</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e. Financial Reports. </w:t>
      </w:r>
      <w:r>
        <w:rPr>
          <w:rFonts w:ascii="Times New Roman" w:cs="Times New Roman" w:eastAsia="Times New Roman" w:hAnsi="Times New Roman"/>
          <w:sz w:val="22"/>
          <w:szCs w:val="22"/>
          <w:color w:val="auto"/>
        </w:rPr>
        <w:t>Holdings and the Borrower shall, and shall cause each Borrower Subsidiary to, maintain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standard system of accounting in accordance with GAAP and shall furnish to the Administrative Agent, each Lender, and each of their duly authorized representatives such information respecting the business and financial condition of Holdings,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17" w:name="page218"/>
    <w:bookmarkEnd w:id="217"/>
    <w:p>
      <w:pPr>
        <w:spacing w:after="0" w:line="271" w:lineRule="auto"/>
        <w:rPr>
          <w:sz w:val="20"/>
          <w:szCs w:val="20"/>
          <w:color w:val="auto"/>
        </w:rPr>
      </w:pPr>
      <w:r>
        <w:rPr>
          <w:rFonts w:ascii="Times New Roman" w:cs="Times New Roman" w:eastAsia="Times New Roman" w:hAnsi="Times New Roman"/>
          <w:sz w:val="22"/>
          <w:szCs w:val="22"/>
          <w:color w:val="auto"/>
        </w:rPr>
        <w:t>Borrower and each Borrower Subsidiary as the Administrative Agent or such Lender may reasonably request; and without any request, shall furnish to the Administrative Agent and the Lenders:</w:t>
      </w:r>
    </w:p>
    <w:p>
      <w:pPr>
        <w:spacing w:after="0" w:line="158" w:lineRule="exact"/>
        <w:rPr>
          <w:sz w:val="20"/>
          <w:szCs w:val="20"/>
          <w:color w:val="auto"/>
        </w:rPr>
      </w:pPr>
    </w:p>
    <w:p>
      <w:pPr>
        <w:jc w:val="both"/>
        <w:ind w:left="660" w:firstLine="644"/>
        <w:spacing w:after="0" w:line="246" w:lineRule="auto"/>
        <w:tabs>
          <w:tab w:leader="none" w:pos="19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not less than weekly, to the extent that any Loans or Letters of Credit were outstanding as of close of business during the prior week, (ii) at the time of any Credit Event hereunder or upon the release of any Collateral, in the event that a Borrowing Base deficiency would result based on the most recently delivered Borrowing Base Certificate or based on decreases in the Borrowing Base since the most recently delivered Borrowing Base Certificate and (iii) upon the request by the Administrative Agent (on behalf of any Lender), a Borrowing Base Certificate showing the computation of the Borrowing Base in reasonable detail, together with a list of (A) counterparties indicating the amount of any outstanding transactions, including a summary of unhedged commodity positions, which shall in any event be consistent with the Credit and Collection Policy and the Market Risk Policy and (B) Eligible Receivable indicating the amount of such Eligible Receivable, the credit rating of the account debtor and the aging the Eligible Receivable, in each case prepared by the Borrower and certified to by a Responsible Officer of the Borrower;</w:t>
      </w:r>
    </w:p>
    <w:p>
      <w:pPr>
        <w:spacing w:after="0" w:line="18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 later than thirty (30) days after the last day of each calendar month, a copy of the year-to-date consolidated balance sheet of the Borrower and its Subsidiaries as of the last day of such calendar month and the consolidated statement of income of the Borrower and its Subsidiaries for the calendar month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or another officer of the Borrower acceptable to the Administrative Agent;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no later than forty-five (45) days after the last day of each fiscal quarter of each fiscal year of Holdings, a copy of the consolidated balance sheet of Holdings and its Subsidiaries as of the last day of such fiscal quarter and the consolidated statements of income, retained earnings, and cash flows of Holdings and its Subsidiaries for the fiscal quarter and for the fiscal year-to-date period then ended, each in reasonable detail showing in comparative form the figures for the corresponding date and period in the previous fiscal year, prepared by Holdings in accordance with GAAP (subject to the absence of footnote disclosures and year-end audit adjustments) and certified to by its chief financial officer or another officer of Holdings acceptable to the Administrative Agent;</w:t>
      </w:r>
    </w:p>
    <w:p>
      <w:pPr>
        <w:spacing w:after="0" w:line="173"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9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 later than ninety (90) days after the last day of each fiscal year of Holdings, a copy of the consolidated balance sheet of Holdings and its Subsidiaries as of the last day of the fiscal year then ended and the consolidated statements of income, retained earnings, and cash flows of Holdings and its Subsidiaries for the fiscal year then ended, and accompanying notes thereto, each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8" w:name="page219"/>
    <w:bookmarkEnd w:id="218"/>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reasonable detail showing in comparative form the figures for the previous fiscal year, accompanied by an unqualified opinion of a firm of independent public accountants of recognized national standing, selected by Holdings and reasonably satisfactory to the Administrative Agent and the Required Lenders, to the effect that the consolidated financial statements have been prepared in accordance with GAAP and present fairly in accordance with GAAP the consolidated financial condition of Holdings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91" w:lineRule="exact"/>
        <w:rPr>
          <w:sz w:val="20"/>
          <w:szCs w:val="20"/>
          <w:color w:val="auto"/>
        </w:rPr>
      </w:pPr>
    </w:p>
    <w:p>
      <w:pPr>
        <w:jc w:val="both"/>
        <w:ind w:left="660" w:firstLine="644"/>
        <w:spacing w:after="0" w:line="257" w:lineRule="auto"/>
        <w:tabs>
          <w:tab w:leader="none" w:pos="19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any additional written reports, management letters or other detailed information contained in writing concerning significant aspects of Holdings, the Borrower’s or any Borrower Subsidiary’s operations and financial affairs given to it by its independent public accountants;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95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requested by the Administrative Agent or any Lender, promptly after the sending or filing thereof, copies of each financial statement, report, notice or proxy statement sent by Holdings, the Borrower or any Borrower Subsidiary to its stockholders or other equity holders, and copies of each regular, periodic or special report, registration statement or prospectus (including all Form 10-K, Form 10-Q and Form 8-K reports) filed by Holdings, the Borrower or any Borrower Subsidiary with any securities exchange or the Securities and Exchange Commission or any successor agency;</w:t>
      </w:r>
    </w:p>
    <w:p>
      <w:pPr>
        <w:spacing w:after="0" w:line="16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 copy of each audit made by any regulatory agency of the books and records of Holdings, the Borrower or any Subsidiary or of notice of any material noncompliance with any applicable law, regulation or guideline relating to Holdings, the Borrower or any Borrower Subsidiary, or its business;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each Business Day during which any Obligations are outstanding hereunder, the Borrower shall, and shall cause its Affiliates, to deliver to the Administrative Agent daily mark-to-market reports of the Net Hedging Value of all Hedging Agreements in the Eligible Hedging Accounts;</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Change of Control;</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knowledge thereof shall have come to the attention of any responsible officer of Holdings, or the Borrower, written notice of (i) any threatened or pending litigation or governmental or arbitration proceeding or labor controversy against Holdings, the Borrower or any Borrower Subsidiary or any of their Property which, if adversely determined, could reasonably be expected to have a Material Adverse Effect; (ii) the occurrence of any Default or Event of Default hereunder; or (iii) the occurrence of any event or the existence of any condition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19" w:name="page220"/>
    <w:bookmarkEnd w:id="219"/>
    <w:p>
      <w:pPr>
        <w:ind w:left="1960" w:hanging="656"/>
        <w:spacing w:after="0"/>
        <w:tabs>
          <w:tab w:leader="none" w:pos="19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 copy of each inspection report conducted by an independent third party (including the United States Department of Agriculture or any similar State agency) for each facility that stores Qualified Commodities with a Market Value in excess of $5,000,000;</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 later than sixty (60) days after the end of each fiscal year of the Borrower, a copy of the consolidated and consolidating business plan for the Borrower and the Borrower Subsidiaries for such fiscal year, such business plan to show the projected consolidated and consolidating revenues, expenses and balance sheet of the Borrower and the Borrower Subsidiaries on a quarter-by-quarter basis, such business plan to be in reasonable detail prepared by the Borrower and in form satisfactory to the Administrative Agent (which shall include a summary of all assumptions made in preparing such business plan);</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the Borrower shall deliver an inspection report for each location that stores Qualified Commodities with a Market Value in excess of $5,000,000 at any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 each such location shall provide an inspection report at least once during any twelve month period, and (ii) each such inspection report shall be prepared by an independent third party acceptable to the Administrative Agent (including an inspection report provided the United States Department of Agriculture or any agriculture department of any State);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not later than thirty (30) days after the end of each month, a written certificate in the form attached hereto as Exhibit D signed by the chief financial officer of the Borrower or another officer of the Borrower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Holdings, the Borrower or any Borrower Subsidiary to remedy the same. Such certificate shall also set forth the calculations supporting such statements in respect of Section 8.22 hereof;</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occurrence thereof, written notice of any change in the information provided in the Beneficial Ownership Certification that would result in a change to the list of beneficial owners identified in parts (c) or</w:t>
      </w:r>
    </w:p>
    <w:p>
      <w:pPr>
        <w:spacing w:after="0" w:line="1"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certification; and</w:t>
      </w:r>
    </w:p>
    <w:p>
      <w:pPr>
        <w:spacing w:after="0" w:line="19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any notices received under the Food Security Act.</w:t>
      </w:r>
    </w:p>
    <w:p>
      <w:pPr>
        <w:spacing w:after="0" w:line="21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f. Inspection; Field Audits. </w:t>
      </w:r>
      <w:r>
        <w:rPr>
          <w:rFonts w:ascii="Times New Roman" w:cs="Times New Roman" w:eastAsia="Times New Roman" w:hAnsi="Times New Roman"/>
          <w:sz w:val="22"/>
          <w:szCs w:val="22"/>
          <w:color w:val="auto"/>
        </w:rPr>
        <w:t>Each of Holdings and the Borrower shall, and shall cause each Borrower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permit the Administrative Agent, each Lender, and each of their duly authorized representatives and agents to visit and inspect any of Borrower’s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0" w:name="page221"/>
    <w:bookmarkEnd w:id="220"/>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such Borrower Subsidiary’s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Holdings and the Borrower hereby authorize such accountants to discuss with the Administrative Agent and such Lenders the finances and affairs of Holdings, the Borrower and the Borrower Subsidiaries) at such reasonable times and intervals as the Administrative Agent or any such Lender may designate and, so long as no Default or Event of Default exists, with reasonable prior notice to the Borrower. The Borrower shall pay to the Administrative Agent charges for field audits of the Collateral, inspections and visits to Property, inspections of corporate books and financial records, examinations and copies of books of accounts and financial record and other activities permitted in this Section performed by the Administrative Agent or its agents or third party firms, in such amounts as the Administrative Agent may from time to time request (the Administrative Agent acknowledging and agreeing that any internal charges for such audits and inspections shall be computed in the same manner as it at the time customarily uses for the assessment of charges for similar collateral audits), including a collateral inspection to be delivered within six (6) months after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absence of an Event of Default, the Borrower shall not be obligated to reimburse the Administrative Agent for more than two such collateral audits per fiscal year, pursuant to Section 2.1(d) of this Agreement.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Section g. Borrowings and Guaranties. </w:t>
      </w:r>
      <w:r>
        <w:rPr>
          <w:rFonts w:ascii="Times New Roman" w:cs="Times New Roman" w:eastAsia="Times New Roman" w:hAnsi="Times New Roman"/>
          <w:sz w:val="21"/>
          <w:szCs w:val="21"/>
          <w:color w:val="auto"/>
        </w:rPr>
        <w:t>The Borrower shall not, nor shall it permit any Borrower Subsidiary to, issue,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incur, assume, create or have outstanding any Indebtedness for Borrowed Money, or incur liabilities for interest rate, currency, or commodity cap, collar, swap, or similar hedging arrangements,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foregoing shall not restrict nor operate to prevent:</w:t>
      </w:r>
    </w:p>
    <w:p>
      <w:pPr>
        <w:spacing w:after="0" w:line="170" w:lineRule="exact"/>
        <w:rPr>
          <w:sz w:val="20"/>
          <w:szCs w:val="20"/>
          <w:color w:val="auto"/>
        </w:rPr>
      </w:pPr>
    </w:p>
    <w:p>
      <w:pPr>
        <w:ind w:left="660" w:firstLine="644"/>
        <w:spacing w:after="0" w:line="271" w:lineRule="auto"/>
        <w:tabs>
          <w:tab w:leader="none" w:pos="195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and Funds Transfer and Deposit Account Liability of the Borrower and the Borrower Subsidiaries owing to the Administrative Agent and the Lenders (and their Affiliates);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indebtedness and Capitalized Lease Obligations of the Borrower and the Borrower Subsidiaries in an amount not to exceed $100,000 in the aggregate at any one time outstanding;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of the Borrower or any Borrower Subsidiary arising out of Hedging Agreements in connection with bona fide hedging activities in the ordinary course of business and not for speculative purposes;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Borrower’s obligation to repurchase commodities previously sold to the Subsidiaries of Holdings pursuant to any hedging activities permitted hereby shall not exceed $10,000,000 in the aggregate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1" w:name="page222"/>
    <w:bookmarkEnd w:id="221"/>
    <w:p>
      <w:pPr>
        <w:ind w:left="1960" w:hanging="656"/>
        <w:spacing w:after="0"/>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items for deposit or collection of commercial paper received in the ordinary course of</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advances from time to time (i) owing by any Borrower Subsidiary to the Borrower or another Borrower Subsidiary or by the Borrower to a Borrower Subsidiary (ii) from the Borrower to Holdings or owing by the Borrower to Holdings, in each under this clause (e) in the ordinary course of business to finance working capital needs;</w:t>
      </w:r>
    </w:p>
    <w:p>
      <w:pPr>
        <w:spacing w:after="0" w:line="175" w:lineRule="exact"/>
        <w:rPr>
          <w:rFonts w:ascii="Times New Roman" w:cs="Times New Roman" w:eastAsia="Times New Roman" w:hAnsi="Times New Roman"/>
          <w:sz w:val="22"/>
          <w:szCs w:val="22"/>
          <w:color w:val="auto"/>
        </w:rPr>
      </w:pPr>
    </w:p>
    <w:p>
      <w:pPr>
        <w:jc w:val="both"/>
        <w:ind w:left="660" w:right="20" w:firstLine="644"/>
        <w:spacing w:after="0" w:line="259"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Holdings Subordinated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outstanding amount of Holdings Subordinated Debt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loans and advances outstanding pursuant to Section 8.9(h) shall at all times be at least $10,000,000;</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guaranty by the Borrower and the Borrower Subsidiaries of the obligations of Holdings and its Subsidiaries under the INTL BOA Facility in an aggregate principal amount not to exceed $450,000,000 at any one time (and renewals, refinancings and extensions thereof);</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the Borrower and the Borrower Subsidiaries not otherwise permitted by this Section in an amount not to exceed $100,000 in the aggregate at any one time outstanding;</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under bilateral lines of credit in an aggregate amount not to exceed at any one time (together with the aggregate amount of Receivables subject to any Permitted Accounts Receivables Sales at such time and indebtedness outstanding under clause (l) below at such time) $30,000,000;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Subordinated Debt arising under risk participation agreements (which may be funded or unfunded), in an aggregate amount not to exceed at any one time (together with the aggregate amount of Receivables subject to any Permitted Accounts Receivables Sales at such time and indebtedness outstanding under clause (k) above at such time) $30,000,000.</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h. Liens. </w:t>
      </w:r>
      <w:r>
        <w:rPr>
          <w:rFonts w:ascii="Times New Roman" w:cs="Times New Roman" w:eastAsia="Times New Roman" w:hAnsi="Times New Roman"/>
          <w:sz w:val="22"/>
          <w:szCs w:val="22"/>
          <w:color w:val="auto"/>
        </w:rPr>
        <w:t>The Borrower shall not, nor shall it permit any Borrower Subsidiary to, create, incur or permit to exist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Lien of any kind on any Property owned by any such Person;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apply to nor operate to prevent:</w:t>
      </w:r>
    </w:p>
    <w:p>
      <w:pPr>
        <w:spacing w:after="0" w:line="170" w:lineRule="exact"/>
        <w:rPr>
          <w:sz w:val="20"/>
          <w:szCs w:val="20"/>
          <w:color w:val="auto"/>
        </w:rPr>
      </w:pPr>
    </w:p>
    <w:p>
      <w:pPr>
        <w:jc w:val="both"/>
        <w:ind w:left="660" w:firstLine="644"/>
        <w:spacing w:after="0" w:line="257" w:lineRule="auto"/>
        <w:tabs>
          <w:tab w:leader="none" w:pos="195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2" w:name="page223"/>
    <w:bookmarkEnd w:id="222"/>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Borrower or any Borrower Subsidiary is a party or other cash deposits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179" w:lineRule="exact"/>
        <w:rPr>
          <w:sz w:val="20"/>
          <w:szCs w:val="20"/>
          <w:color w:val="auto"/>
        </w:rPr>
      </w:pPr>
    </w:p>
    <w:p>
      <w:pPr>
        <w:jc w:val="both"/>
        <w:ind w:left="660" w:firstLine="644"/>
        <w:spacing w:after="0" w:line="257"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and judicial attachment liens not constituting an Event of Default under Section 9.1(g) hereof and the pledge of assets for the purpose of securing an appeal, stay or discharge in the course of any legal proceeding, provided that the aggregate amount of such judgment liens and attachments and liabilities of the Borrower and the Borrower Subsidiaries secured by a pledge of assets permitted under this subsection, including interest and penalties thereon, if any, shall not be in excess of $100,000 at any one time outstanding;</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interest of lessors under Capital Leases or operating leases;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equipment of the Borrower or any Borrower Subsidiary created solely for the purpose of securing indebtedness permitted by Section 8.7(b) hereof, representing or incurred to finance the purchase price of such Property,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Lien shall extend to or cover other Property of the Borrower or such Borrower Subsidiary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the respective Property so acquired, and the principal amount of indebtedness secured by any such Lien shall at no time exceed the purchase price of such Property, as reduced by repayments of principal thereon;</w:t>
      </w:r>
    </w:p>
    <w:p>
      <w:pPr>
        <w:spacing w:after="0" w:line="180"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Hedging Accounts in favor of an intermediary to secure payment of customary fees and commissions and for payment or delivery of Hedging Agreements purchased or sold from such Hedging Accounts;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in favor of the Administrative Agent pursuant to the Collateral Documents;</w:t>
      </w:r>
    </w:p>
    <w:p>
      <w:pPr>
        <w:spacing w:after="0" w:line="215" w:lineRule="exact"/>
        <w:rPr>
          <w:rFonts w:ascii="Times New Roman" w:cs="Times New Roman" w:eastAsia="Times New Roman" w:hAnsi="Times New Roman"/>
          <w:sz w:val="22"/>
          <w:szCs w:val="22"/>
          <w:color w:val="auto"/>
        </w:rPr>
      </w:pPr>
    </w:p>
    <w:p>
      <w:pPr>
        <w:ind w:left="660" w:firstLine="644"/>
        <w:spacing w:after="0" w:line="275"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the guaranty permitted by Section 8.7(g)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such Liens are limited to the Borrower’s equity interests in the Borrower Subsidiaries;</w:t>
      </w:r>
    </w:p>
    <w:p>
      <w:pPr>
        <w:spacing w:after="0" w:line="15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purchaser of Qualified Commodities sold pursuant to a Purchase Agreement under which the Borrower has the option to repurchase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3" w:name="page224"/>
    <w:bookmarkEnd w:id="223"/>
    <w:p>
      <w:pPr>
        <w:ind w:left="660"/>
        <w:spacing w:after="0" w:line="271" w:lineRule="auto"/>
        <w:rPr>
          <w:sz w:val="20"/>
          <w:szCs w:val="20"/>
          <w:color w:val="auto"/>
        </w:rPr>
      </w:pPr>
      <w:r>
        <w:rPr>
          <w:rFonts w:ascii="Times New Roman" w:cs="Times New Roman" w:eastAsia="Times New Roman" w:hAnsi="Times New Roman"/>
          <w:sz w:val="22"/>
          <w:szCs w:val="22"/>
          <w:color w:val="auto"/>
        </w:rPr>
        <w:t>Qualified Commodities so long as such Lien attaches only to Qualified Commodities of such Purchase Agreement and no other property of the Borrower; and</w:t>
      </w:r>
    </w:p>
    <w:p>
      <w:pPr>
        <w:spacing w:after="0" w:line="158" w:lineRule="exact"/>
        <w:rPr>
          <w:sz w:val="20"/>
          <w:szCs w:val="20"/>
          <w:color w:val="auto"/>
        </w:rPr>
      </w:pPr>
    </w:p>
    <w:p>
      <w:pPr>
        <w:jc w:val="both"/>
        <w:ind w:left="660" w:firstLine="644"/>
        <w:spacing w:after="0" w:line="257" w:lineRule="auto"/>
        <w:tabs>
          <w:tab w:leader="none" w:pos="19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permitted by Section 8.7(k) hereof so long as such Liens (i) are subject to an intercreditor agreement on terms and conditions acceptable to the Administrative Agent and (ii) do not attach to any assets included in the Borrowing Base.</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i. Investments, Acquisitions, Loans and Advances</w:t>
      </w:r>
      <w:r>
        <w:rPr>
          <w:rFonts w:ascii="Times New Roman" w:cs="Times New Roman" w:eastAsia="Times New Roman" w:hAnsi="Times New Roman"/>
          <w:sz w:val="22"/>
          <w:szCs w:val="22"/>
          <w:color w:val="auto"/>
        </w:rPr>
        <w:t>. The Borrower shall not, nor shall it permit any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Subsidiary to, directly or indirectly, make, retain or have outstanding any investments (whether through purchase of stock or obligations or otherwise) in, or loans or advances to (other than for travel advances and other similar cash advances made to employees in the ordinary course of business), any other Person, or acquire all or any substantial part of the assets or business of any other Person or division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apply to nor operate to prevent:</w:t>
      </w:r>
    </w:p>
    <w:p>
      <w:pPr>
        <w:spacing w:after="0" w:line="180" w:lineRule="exact"/>
        <w:rPr>
          <w:sz w:val="20"/>
          <w:szCs w:val="20"/>
          <w:color w:val="auto"/>
        </w:rPr>
      </w:pPr>
    </w:p>
    <w:p>
      <w:pPr>
        <w:jc w:val="both"/>
        <w:ind w:left="660" w:firstLine="644"/>
        <w:spacing w:after="0" w:line="257" w:lineRule="auto"/>
        <w:tabs>
          <w:tab w:leader="none" w:pos="19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rated at least P-1 by Moody’s and at least A-1 by S&amp;P maturing within one year of the date of issuance thereof;</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issued by any Lender or by any United States commercial bank having capital and surplus of not less than $100,000,000 which have a maturity of one year or less;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79" w:lineRule="exact"/>
        <w:rPr>
          <w:rFonts w:ascii="Times New Roman" w:cs="Times New Roman" w:eastAsia="Times New Roman" w:hAnsi="Times New Roman"/>
          <w:sz w:val="22"/>
          <w:szCs w:val="22"/>
          <w:color w:val="auto"/>
        </w:rPr>
      </w:pPr>
    </w:p>
    <w:p>
      <w:pPr>
        <w:ind w:left="660" w:firstLine="644"/>
        <w:spacing w:after="0" w:line="295" w:lineRule="auto"/>
        <w:tabs>
          <w:tab w:leader="none" w:pos="195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13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investments in the Domestic Borrower Subsidiaries party hereto;</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loans and advances to Purchasers pursuant to Purchase Agreements;</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or any Borrower Subsidiary’s loans and advances to Holdings so long as (i) no Default or Event of Default has occurred and is continuing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4" w:name="page225"/>
    <w:bookmarkEnd w:id="224"/>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would result from such loan or advance, (ii) the Borrower is in compliance with Section 8.22 hereof on a pro forma basis after giving effect to any such loan or advance, (iii) the aggregate amount of Holdings Subordinated Debt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loans and advances outstanding pursuant to this clause (h) shall be at least $10,000,000 at all times and (iv) the aggregate principal amount of loans and advances outstanding pursuant to this clause (h) shall not at any time exceed $30,000,000;</w:t>
      </w:r>
    </w:p>
    <w:p>
      <w:pPr>
        <w:spacing w:after="0" w:line="181" w:lineRule="exact"/>
        <w:rPr>
          <w:sz w:val="20"/>
          <w:szCs w:val="20"/>
          <w:color w:val="auto"/>
        </w:rPr>
      </w:pPr>
    </w:p>
    <w:p>
      <w:pPr>
        <w:ind w:left="660" w:right="20" w:firstLine="644"/>
        <w:spacing w:after="0" w:line="271" w:lineRule="auto"/>
        <w:tabs>
          <w:tab w:leader="none" w:pos="19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loans and advances from Holdings to the Borrower or to a Borrower Subsidiary in the ordinary course of business to finance working capital needs and consisting of Holdings Subordinated Debt;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and loans to a joint venture, partnership or other such Person in connection with Borrower’s business activities so long as (i) no Default or Event of Default has occurred and is continuing immediately before and after giving effect to such investment or loan, (ii) the Borrower is in compliance on a pro forma basis with the financial covenants set forth in Section 8.22 hereof, and (iii) the aggregate amount of such investments in and loans to such joint venture, partnership or other Person shall not exceed $2,500,000 in the aggregate at any one time; and</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loans to the Borrower’s customers to prevent or limit customer losses so long as (i) no Default or Event of Default has occurred and is continuing immediately before and after giving effect to such loan, (ii) the Borrower is in compliance on a pro forma basis with the financial covenants set forth in Section 8.22 hereof, and (iii) the aggregate amount of such loans shall not exceed $2,000,000 in the aggregate at any one time.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determining the amount of investments, acquisitions, loans, and advances permitted under this Section, investments and acquisitions shall always be taken at the original cost thereof (regardless of any subsequent appreciation or depreciation therein), and loans and advances shall be taken at the principal amount thereof then remaining unpaid.</w:t>
      </w:r>
    </w:p>
    <w:p>
      <w:pPr>
        <w:spacing w:after="0" w:line="16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i w:val="1"/>
          <w:iCs w:val="1"/>
          <w:color w:val="auto"/>
        </w:rPr>
        <w:t xml:space="preserve">Section j. Mergers, Consolidations and Sales. </w:t>
      </w:r>
      <w:r>
        <w:rPr>
          <w:rFonts w:ascii="Times New Roman" w:cs="Times New Roman" w:eastAsia="Times New Roman" w:hAnsi="Times New Roman"/>
          <w:sz w:val="21"/>
          <w:szCs w:val="21"/>
          <w:color w:val="auto"/>
        </w:rPr>
        <w:t>The Borrower shall not, nor shall it permit any Borrower Subsidiary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 a party to any merger or consolidation, or sell, transfer, lease or otherwise dispose of all or any part of its Property, including any disposition of Property as part of a sale and leaseback transaction, or in any event sell or discount (with or without recourse) any of its notes or accounts receivable;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this Section shall not apply to nor operate to prevent:</w:t>
      </w:r>
    </w:p>
    <w:p>
      <w:pPr>
        <w:spacing w:after="0" w:line="163" w:lineRule="exact"/>
        <w:rPr>
          <w:sz w:val="20"/>
          <w:szCs w:val="20"/>
          <w:color w:val="auto"/>
        </w:rPr>
      </w:pPr>
    </w:p>
    <w:p>
      <w:pPr>
        <w:jc w:val="both"/>
        <w:ind w:left="660" w:firstLine="644"/>
        <w:spacing w:after="0" w:line="257" w:lineRule="auto"/>
        <w:tabs>
          <w:tab w:leader="none" w:pos="19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inventory (i) in the ordinary course of business or (ii) outside the ordinary course of business so long as (a) the Borrower has the right but not the obligation to repurchase the inventory subject to such sale and (b) such sale is non-recourse to the Borrower;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the Borrower and the Borrower Subsidiaries to one another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5" w:name="page226"/>
    <w:bookmarkEnd w:id="225"/>
    <w:p>
      <w:pPr>
        <w:ind w:left="660" w:right="20" w:firstLine="644"/>
        <w:spacing w:after="0" w:line="271"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any Borrower Subsidiary with and into the Borrower or any other Borrower Subsidiary, provided that, in the case of any merger involving the Borrower, the Borrower is the corporation surviving the merger;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delinquent notes or accounts receivable in the ordinary course of business for purposes of collection only (and not for the purpose of any bulk sale or securitization transaction);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tangible personal property that, in the reasonable business judgment of the Borrower or the Borrower Subsidiary, has become obsolete or worn out, and which is disposed of in the ordinary course of business;</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of Precious Metals in the ordinary course of business so long as such lease constitutes an operating lease and not a Capital Lease;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the Borrower or any Borrower Subsidiary (including any disposition of Property as part of a sale and leaseback transaction) aggregating for the Borrower and the Borrower Subsidiaries not more than $100,000 during any fiscal year of the Borrower;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Accounts Receivables Sales so long as the aggregate amount of Receivables subject to such Permitted Accounts Receivables Sales, together with the amount of indebtedness outstanding pursuant to Section 8.1(k), shall not exceed $30,000,000 in the aggregate at any one time.</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k. Maintenance of Borrower Subsidiaries. </w:t>
      </w:r>
      <w:r>
        <w:rPr>
          <w:rFonts w:ascii="Times New Roman" w:cs="Times New Roman" w:eastAsia="Times New Roman" w:hAnsi="Times New Roman"/>
          <w:sz w:val="22"/>
          <w:szCs w:val="22"/>
          <w:color w:val="auto"/>
        </w:rPr>
        <w:t>Holdings or the Borrower shall not assign, sell or transfer, nor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they permit any Borrower Subsidiary to issue, assign, sell or transfer, any shares of capital stock or other equity interests of the Borrower or a Borrower Subsidiary;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operate to prevent (a) the issuance, sale, and transfer to any person of any shares of capital stock of the Borrower or a Borrower Subsidiary solely for the purpose of qualifying, and to the extent legally necessary to qualify, such person as a director of such Borrower Subsidiary, and (b) any transaction permitted by Section 8.8(h) or Section 8.10(c) above.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l. Dividends and Certain Other Restricted Payments. </w:t>
      </w:r>
      <w:r>
        <w:rPr>
          <w:rFonts w:ascii="Times New Roman" w:cs="Times New Roman" w:eastAsia="Times New Roman" w:hAnsi="Times New Roman"/>
          <w:sz w:val="22"/>
          <w:szCs w:val="22"/>
          <w:color w:val="auto"/>
        </w:rPr>
        <w:t>The Borrower shall not, nor shall it permit any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to, (a) declare or pay any dividends on or make any other distributions in respect of any class or series of its capital stock or other equity interests (other than dividends or distributions payable solely in its capital stock or other equity interests),</w:t>
      </w:r>
    </w:p>
    <w:p>
      <w:pPr>
        <w:spacing w:after="0" w:line="1" w:lineRule="exact"/>
        <w:rPr>
          <w:sz w:val="20"/>
          <w:szCs w:val="20"/>
          <w:color w:val="auto"/>
        </w:rPr>
      </w:pPr>
    </w:p>
    <w:p>
      <w:pPr>
        <w:jc w:val="both"/>
        <w:ind w:firstLine="8"/>
        <w:spacing w:after="0" w:line="245" w:lineRule="auto"/>
        <w:tabs>
          <w:tab w:leader="none" w:pos="31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or indirectly purchase, redeem, or otherwise acquire or retire any of its capital stock or other equity interests or any warrants, options, or similar instruments to acquire the same, (c) repay, repurchase, redeem or otherwise retire any indebtedness or (d) directly or indirectly pay Management Fees (collectively referred to herein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operate to prevent (A) the making of dividends or distributions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6" w:name="page227"/>
    <w:bookmarkEnd w:id="226"/>
    <w:p>
      <w:pPr>
        <w:jc w:val="both"/>
        <w:spacing w:after="0" w:line="247" w:lineRule="auto"/>
        <w:rPr>
          <w:sz w:val="20"/>
          <w:szCs w:val="20"/>
          <w:color w:val="auto"/>
        </w:rPr>
      </w:pPr>
      <w:r>
        <w:rPr>
          <w:rFonts w:ascii="Times New Roman" w:cs="Times New Roman" w:eastAsia="Times New Roman" w:hAnsi="Times New Roman"/>
          <w:sz w:val="22"/>
          <w:szCs w:val="22"/>
          <w:color w:val="auto"/>
        </w:rPr>
        <w:t>any Borrower Subsidiary to the Borrower and (B) the Borrower may make dividends and distributions, and repay, repurchase and refinance indebtedness, so long as (i) no Default or Event of Default has occurred and is continuing or would result from such dividend or other distribution, (ii) the Borrower is in compliance with Section 8.22 hereof after giving effect to any such dividend or other distribution, (iii) in the case of any repayment, repurchase or refinancing of indebtedness, such repayment, repurchase or refinancing would not contravene any subordination terms applicable thereto, (iv) the aggregate common equity and retained earnings of the Borrower shall not be less than $15,000,000 and (v) the aggregate amount of any such dividends and other distributions made after the Closing Date shall not exceed 75% of the consolidated net income for the Borrower and its Subsidiaries for each full fiscal quarter then ended after the Closing Date.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Section m. ERISA. </w:t>
      </w:r>
      <w:r>
        <w:rPr>
          <w:rFonts w:ascii="Times New Roman" w:cs="Times New Roman" w:eastAsia="Times New Roman" w:hAnsi="Times New Roman"/>
          <w:sz w:val="21"/>
          <w:szCs w:val="21"/>
          <w:color w:val="auto"/>
        </w:rPr>
        <w:t>Each of Holdings and the Borrower shall, and shall cause each Borrower Subsidiary to, promptly pay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discharge all obligations and liabilities arising under ERISA of a character which if unpaid or unperformed could reasonably be expected to result in the imposition of a Lien against any of its Property. With respect to any Plan and Multiemployer Plan, neither Holdings nor the Borrower shall, and neither shall permit any Borrower Subsidiary or member of the Controlled Group to, allow an ERISA Event to occur which could reasonably be expected to result in material liability to Holdings, Borrower, or any Borrower Subsidiary. Each of Holdings and the Borrower shall, and shall cause each Borrower Subsidiary to, promptly notify the Administrative Agent and each Lender of (a) any ERISA Event that, alone or together with any other ERISA Events that have occurred, could reasonably be expected to result in material liability to Holdings, the Borrower or any Borrower Subsidiary, or</w:t>
      </w:r>
    </w:p>
    <w:p>
      <w:pPr>
        <w:spacing w:after="0" w:line="3" w:lineRule="exact"/>
        <w:rPr>
          <w:sz w:val="20"/>
          <w:szCs w:val="20"/>
          <w:color w:val="auto"/>
        </w:rPr>
      </w:pPr>
    </w:p>
    <w:p>
      <w:pPr>
        <w:ind w:right="20" w:firstLine="8"/>
        <w:spacing w:after="0" w:line="248" w:lineRule="auto"/>
        <w:tabs>
          <w:tab w:leader="none" w:pos="32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increase in the contingent liability of Holdings, the Borrower or any Borrower Subsidiary with respect to any post-retirement Welfare Plan benefit.</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Section n. Compliance with Laws. </w:t>
      </w:r>
      <w:r>
        <w:rPr>
          <w:rFonts w:ascii="Times New Roman" w:cs="Times New Roman" w:eastAsia="Times New Roman" w:hAnsi="Times New Roman"/>
          <w:sz w:val="22"/>
          <w:szCs w:val="22"/>
          <w:color w:val="auto"/>
        </w:rPr>
        <w:t>Each of Holdings and the Borrower shall, and shall cause each Borrower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comply in all respects with the requirements of all foreign, federal, state, and local laws, rules, regulations, ordinances and orders (including but not limited to all Environmental Laws) applicable to or pertaining to its Property or business operations, where any such non-compliance, individually or in the aggregate, could reasonably be expected to have a Material Adverse Effect or result in a Lien upon any of its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-527685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o. Burdensome Contracts with Affiliates. </w:t>
      </w:r>
      <w:r>
        <w:rPr>
          <w:rFonts w:ascii="Times New Roman" w:cs="Times New Roman" w:eastAsia="Times New Roman" w:hAnsi="Times New Roman"/>
          <w:sz w:val="22"/>
          <w:szCs w:val="22"/>
          <w:color w:val="auto"/>
        </w:rPr>
        <w:t>The Borrower shall not, nor shall it permit any Borrower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enter into any contract, agreement or business arrangement with any of its Affiliates (other than with Wholly-owned Subsidiaries) on terms and conditions which are less favorable to the Borrower or such Borrower Subsidiary than would be usual and customary in similar contracts, agreements or business arrangements between Persons not affiliated with each other.</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p. No Changes in Fiscal Year. </w:t>
      </w:r>
      <w:r>
        <w:rPr>
          <w:rFonts w:ascii="Times New Roman" w:cs="Times New Roman" w:eastAsia="Times New Roman" w:hAnsi="Times New Roman"/>
          <w:sz w:val="22"/>
          <w:szCs w:val="22"/>
          <w:color w:val="auto"/>
        </w:rPr>
        <w:t>The fiscal year of Holdings, the Borrower and the Borrower Subsidiaries ends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September 30 of each year; and neither Holdings nor the Borrower shall, nor shall they permit any Borrower Subsidiary to, change its fiscal year from its present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7" w:name="page228"/>
    <w:bookmarkEnd w:id="227"/>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Section q. Formation of Borrower Subsidiaries. </w:t>
      </w:r>
      <w:r>
        <w:rPr>
          <w:rFonts w:ascii="Times New Roman" w:cs="Times New Roman" w:eastAsia="Times New Roman" w:hAnsi="Times New Roman"/>
          <w:sz w:val="22"/>
          <w:szCs w:val="22"/>
          <w:color w:val="auto"/>
        </w:rPr>
        <w:t>Promptly upon the formation or acquisition of any Domestic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the Borrower shall provide the Administrative Agent and the Lenders notice thereof and timely comply with the requirements of Section 4 hereof (at which time Schedule 6.2 shall be deemed amended to include reference to such Borrower Subsidiary). The Borrower shall not, nor shall it permit any Borrower Subsidiary to, form or acquire any Foreign Borrower Subsidiary.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r. Change in the Nature of Business. </w:t>
      </w:r>
      <w:r>
        <w:rPr>
          <w:rFonts w:ascii="Times New Roman" w:cs="Times New Roman" w:eastAsia="Times New Roman" w:hAnsi="Times New Roman"/>
          <w:sz w:val="22"/>
          <w:szCs w:val="22"/>
          <w:color w:val="auto"/>
        </w:rPr>
        <w:t>Neither Holdings nor the Borrower shall, nor shall they permit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Subsidiary to, engage in any business or activity if as a result the general nature of the business of Holdings, the Borrower or any Borrower Subsidiary would be changed in any material respect from the general nature of the business engaged in by it as of the Closing Date.</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i w:val="1"/>
          <w:iCs w:val="1"/>
          <w:color w:val="auto"/>
        </w:rPr>
        <w:t>Section s. Use of Proceeds</w:t>
      </w:r>
      <w:r>
        <w:rPr>
          <w:rFonts w:ascii="Times New Roman" w:cs="Times New Roman" w:eastAsia="Times New Roman" w:hAnsi="Times New Roman"/>
          <w:sz w:val="21"/>
          <w:szCs w:val="21"/>
          <w:color w:val="auto"/>
        </w:rPr>
        <w:t>. The Borrower shall use the credit extended under this Agreement solely for the purposes set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forth in, or otherwise permitted by, Section 6.4 hereof. The Borrower will not request any Borrowing, and the Borrower shall not directly or, to the Borrower’s knowledge indirectly,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(iii) in any manner that would result in the violation of any Sanctions applicable to any party hereto, or (iv) in any manner that would result in the violation of any Anti-Terrorism Laws.</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t. No Restrictions</w:t>
      </w:r>
      <w:r>
        <w:rPr>
          <w:rFonts w:ascii="Times New Roman" w:cs="Times New Roman" w:eastAsia="Times New Roman" w:hAnsi="Times New Roman"/>
          <w:sz w:val="22"/>
          <w:szCs w:val="22"/>
          <w:color w:val="auto"/>
        </w:rPr>
        <w:t>. Except as disclosed to the Lenders or as otherwise provided herein, neither Holdings nor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nor shall they permit any Borrower Subsidiary to, directly or indirectly create or otherwise cause or suffer to exist or become effective any consensual encumbrance or restriction of any kind on the ability of Holdings, the Borrower or any Borrower Subsidiary to: (a) pay dividends or make any other distribution on the Borrower’s or any Borrower Subsidiary’s capital stock or other equity interests owned (directly or indirectly) by Holdings, the Borrower or any other Borrower Subsidiary, (b) pay any indebtedness owed to Holdings, the Borrower or any other Borrower Subsidiary, (c) make loans or advances to Holdings, the Borrower or any other Borrower Subsidiary, (d) transfer any of its Property to Holdings, the Borrower or any other Borrower Subsidiary, or (e) guarantee the Obligations and Funds Transfer and Deposit Account Liability and/or grant Liens on its assets to the Administrative Agent as required by the Loan Documents.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u. Performance of Duties; Amendment of Material Contracts. </w:t>
      </w:r>
      <w:r>
        <w:rPr>
          <w:rFonts w:ascii="Times New Roman" w:cs="Times New Roman" w:eastAsia="Times New Roman" w:hAnsi="Times New Roman"/>
          <w:sz w:val="22"/>
          <w:szCs w:val="22"/>
          <w:color w:val="auto"/>
        </w:rPr>
        <w:t>Each of Holdings and the Borrower shall,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cause each Borrower Subsidiary to, (i) fully and timely perform in all material respects all agreements required to be observed by it in connection with each Material Contract, (ii) comply in all material respects with the Credit and Collection Policy and the Market Risk Policy, (iii) maintain credit ratings in respect of all Purchasers and Account Debtors in respect of Qualified Commodities and Eligible Receivables included in the Borrowing Base and (iv) refrain from taking any action (including waiving any default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28" w:name="page229"/>
    <w:bookmarkEnd w:id="228"/>
    <w:p>
      <w:pPr>
        <w:spacing w:after="0" w:line="271" w:lineRule="auto"/>
        <w:rPr>
          <w:sz w:val="20"/>
          <w:szCs w:val="20"/>
          <w:color w:val="auto"/>
        </w:rPr>
      </w:pPr>
      <w:r>
        <w:rPr>
          <w:rFonts w:ascii="Times New Roman" w:cs="Times New Roman" w:eastAsia="Times New Roman" w:hAnsi="Times New Roman"/>
          <w:sz w:val="22"/>
          <w:szCs w:val="22"/>
          <w:color w:val="auto"/>
        </w:rPr>
        <w:t>of default under a Material Contract) that may materially impair the rights of the Administrative Agent or the Lenders in any Material Contract or any Collateral.</w:t>
      </w:r>
    </w:p>
    <w:p>
      <w:pPr>
        <w:spacing w:after="0" w:line="158" w:lineRule="exact"/>
        <w:rPr>
          <w:sz w:val="20"/>
          <w:szCs w:val="20"/>
          <w:color w:val="auto"/>
        </w:rPr>
      </w:pPr>
    </w:p>
    <w:p>
      <w:pPr>
        <w:jc w:val="both"/>
        <w:ind w:left="660" w:firstLine="644"/>
        <w:spacing w:after="0" w:line="250" w:lineRule="auto"/>
        <w:tabs>
          <w:tab w:leader="none" w:pos="195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Holdings nor the Borrower shall, nor shall they permit any Borrower Subsidiary to, make any change to the Credit and Collection Policy, the Market Risk Policy or their method for computing internal risk ratings for the Purchasers if such change would have a material adverse effect on any Material Contract (and the Borrower will deliver copies of any amendment or other such change to the Administrative Agent within five days of the effectiveness thereof).</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amend the form of the agreements relating to the Merchants Plus Program from the forms delivered pursuant to Section 7.1(e) hereof without the prior consent of the Lenders (which consent shall not be unreasonably withheld).</w:t>
      </w:r>
    </w:p>
    <w:p>
      <w:pPr>
        <w:spacing w:after="0" w:line="169"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22"/>
          <w:szCs w:val="22"/>
          <w:i w:val="1"/>
          <w:iCs w:val="1"/>
          <w:color w:val="auto"/>
        </w:rPr>
        <w:t>Section v.</w:t>
      </w:r>
      <w:r>
        <w:rPr>
          <w:sz w:val="20"/>
          <w:szCs w:val="20"/>
          <w:color w:val="auto"/>
        </w:rPr>
        <w:tab/>
      </w:r>
      <w:r>
        <w:rPr>
          <w:rFonts w:ascii="Times New Roman" w:cs="Times New Roman" w:eastAsia="Times New Roman" w:hAnsi="Times New Roman"/>
          <w:sz w:val="21"/>
          <w:szCs w:val="21"/>
          <w:i w:val="1"/>
          <w:iCs w:val="1"/>
          <w:color w:val="auto"/>
        </w:rPr>
        <w:t>Financial Covenants.</w:t>
      </w:r>
    </w:p>
    <w:p>
      <w:pPr>
        <w:spacing w:after="0" w:line="220" w:lineRule="exact"/>
        <w:rPr>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Tangible Net Worth. </w:t>
      </w:r>
      <w:r>
        <w:rPr>
          <w:rFonts w:ascii="Times New Roman" w:cs="Times New Roman" w:eastAsia="Times New Roman" w:hAnsi="Times New Roman"/>
          <w:sz w:val="22"/>
          <w:szCs w:val="22"/>
          <w:color w:val="auto"/>
        </w:rPr>
        <w:t>The Borrower shall at all times maintain a Tangible Net Worth of not less than</w:t>
      </w:r>
    </w:p>
    <w:p>
      <w:pPr>
        <w:spacing w:after="0" w:line="3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$20,000,000</w:t>
      </w:r>
    </w:p>
    <w:p>
      <w:pPr>
        <w:spacing w:after="0" w:line="19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Leverage Ratio. </w:t>
      </w:r>
      <w:r>
        <w:rPr>
          <w:rFonts w:ascii="Times New Roman" w:cs="Times New Roman" w:eastAsia="Times New Roman" w:hAnsi="Times New Roman"/>
          <w:sz w:val="22"/>
          <w:szCs w:val="22"/>
          <w:color w:val="auto"/>
        </w:rPr>
        <w:t>The Borrower shall not permit the Leverage Ratio to exceed at any time to exceed</w:t>
      </w:r>
    </w:p>
    <w:p>
      <w:pPr>
        <w:spacing w:after="0" w:line="3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8.50:1.00.</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w. Compliance with Sanctions . </w:t>
      </w:r>
      <w:r>
        <w:rPr>
          <w:rFonts w:ascii="Times New Roman" w:cs="Times New Roman" w:eastAsia="Times New Roman" w:hAnsi="Times New Roman"/>
          <w:sz w:val="22"/>
          <w:szCs w:val="22"/>
          <w:color w:val="auto"/>
        </w:rPr>
        <w:t>Holdings and the Borrower will maintain in effect and enforce policies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procedures designed to ensure compliance by Holdings, the Borrower, the Borrower Subsidiaries and their respective directors, officers, employees and agents with Anti-Corruption Laws and applicable Sanctions.</w:t>
      </w:r>
    </w:p>
    <w:p>
      <w:pPr>
        <w:spacing w:after="0" w:line="170" w:lineRule="exact"/>
        <w:rPr>
          <w:sz w:val="20"/>
          <w:szCs w:val="20"/>
          <w:color w:val="auto"/>
        </w:rPr>
      </w:pPr>
    </w:p>
    <w:p>
      <w:pPr>
        <w:jc w:val="both"/>
        <w:ind w:left="660" w:firstLine="644"/>
        <w:spacing w:after="0" w:line="246" w:lineRule="auto"/>
        <w:tabs>
          <w:tab w:leader="none" w:pos="194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Holdings or the Borrower obtains actual knowledge or receives any written notice that any of Holdings or the Borrower, any Affiliate of the Borrower or any Borrower Subsidiary is a Sanctioned Person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Event”</w:t>
      </w:r>
      <w:r>
        <w:rPr>
          <w:rFonts w:ascii="Times New Roman" w:cs="Times New Roman" w:eastAsia="Times New Roman" w:hAnsi="Times New Roman"/>
          <w:sz w:val="22"/>
          <w:szCs w:val="22"/>
          <w:color w:val="auto"/>
        </w:rPr>
        <w:t>), the Borrower shall promptly (i) give written notice to the Administrative Agent and the Lenders of such OFAC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and (ii) comply with all applicable laws with respect to such OFAC Event (regardless of whether the party included as a Sanctioned Person is located within the jurisdiction of the United States of America), and Holdings and the Borrower hereby authorize and consent to the Administrative Agent and the Lenders taking any and all steps the Administrative Agent or the Lenders deem necessary, in their sole but reasonable discretion, to avoid violation of all applicable laws with respect to any such OFAC Event, including the requirements of the Sanctions (including the freezing and/or blocking of assets and reporting such action to OFAC).</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x. Deposit Accounts. </w:t>
      </w:r>
      <w:r>
        <w:rPr>
          <w:rFonts w:ascii="Times New Roman" w:cs="Times New Roman" w:eastAsia="Times New Roman" w:hAnsi="Times New Roman"/>
          <w:sz w:val="22"/>
          <w:szCs w:val="22"/>
          <w:color w:val="auto"/>
        </w:rPr>
        <w:t>The Borrower shall, and shall cause each Borrower Subsidiary to, maintain all deposit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accounts with the Administrative Agent or with other financial institutions selected by the Borrower and reasonably acceptable to the Administrative Agent (which financial institutions have entered into account control agreements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Administrative Agent relating to such accounts on terms reasonably acceptable to the Administrative Agent).</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y. Material Contracts. </w:t>
      </w:r>
      <w:r>
        <w:rPr>
          <w:rFonts w:ascii="Times New Roman" w:cs="Times New Roman" w:eastAsia="Times New Roman" w:hAnsi="Times New Roman"/>
          <w:sz w:val="22"/>
          <w:szCs w:val="22"/>
          <w:color w:val="auto"/>
        </w:rPr>
        <w:t>Promptly request by the Administrative Agent or the Required Lenders,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deliver to the Administrative Agent a copy of each Material Contract.</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Section z. Most Favored Lenders. </w:t>
      </w:r>
      <w:r>
        <w:rPr>
          <w:rFonts w:ascii="Times New Roman" w:cs="Times New Roman" w:eastAsia="Times New Roman" w:hAnsi="Times New Roman"/>
          <w:sz w:val="22"/>
          <w:szCs w:val="22"/>
          <w:color w:val="auto"/>
        </w:rPr>
        <w:t>In the event that the Borrower or any of the Borrower Subsidiaries shall,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be a party to or enter into or otherwise consent to any agreement or instrument (or any amendment, supplement or modification thereto) under which, directly or indirectly, any Person or Persons undertakes to make or provide credit or loans to the Borrower or any of the Borrower Subsidiaries (including, without limitation, any instrument, document or indenture relating to any Indebtedness and any Material Contract), which agreement (or amendment thereto) provides such Person with more restrictive covenants or borrowing base provisions than are provided to the Administrative Agent and/or the Lenders in this Agreement, the Borrower shall provide the Administrative Agent and the Lenders with a copy of each such agreement (or amendment thereto) and such more restrictive covenants or borrowing base provisions shall automatically be deemed to be incorporated into this Agreement, and the Administrative Agent and the Lenders shall have the benefits of such more restrictive covenants or borrowing base provisions as if specifically set forth herein and applied for the benefit of the holders of the Obligations and the interest of the Administrative Agent and/or the Lenders in the Collateral (and no amendment, modification, or waiver of any such more restrictive covenants or borrowing base provisions incorporated herein by reference shall be effective against the Administrative Agent or the Lenders unless consented to by the Required Lenders). Upon the written request of the Administrative Agent or the Required Lenders, the Borrower shall promptly enter into an amendment to this Agreement to include such more restrictive covenants or borrowing base provisions (provided that the Administrative Agent and the Lenders shall maintain the benefit of such more restrictive covenants or borrowing base provisions even if the Administrative Agent or Required Lenders fail to make such request or the Borrower fails to provide such amendment).</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aa. Restriction on Formation of Borrower Subsidiaries. </w:t>
      </w:r>
      <w:r>
        <w:rPr>
          <w:rFonts w:ascii="Times New Roman" w:cs="Times New Roman" w:eastAsia="Times New Roman" w:hAnsi="Times New Roman"/>
          <w:sz w:val="22"/>
          <w:szCs w:val="22"/>
          <w:color w:val="auto"/>
        </w:rPr>
        <w:t>So long as the liens permitted by Section 8.8(h) are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place, the Borrower shall not create or cause to create, directly or indirectly, any Borrower Subsidiaries.</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EVENTS OF DEFAULT AND REMEDIES.</w:t>
      </w:r>
    </w:p>
    <w:p>
      <w:pPr>
        <w:spacing w:after="0" w:line="21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a.</w:t>
      </w:r>
      <w:r>
        <w:rPr>
          <w:sz w:val="20"/>
          <w:szCs w:val="20"/>
          <w:color w:val="auto"/>
        </w:rPr>
        <w:tab/>
      </w:r>
      <w:r>
        <w:rPr>
          <w:rFonts w:ascii="Times New Roman" w:cs="Times New Roman" w:eastAsia="Times New Roman" w:hAnsi="Times New Roman"/>
          <w:sz w:val="21"/>
          <w:szCs w:val="21"/>
          <w:i w:val="1"/>
          <w:iCs w:val="1"/>
          <w:color w:val="auto"/>
        </w:rPr>
        <w:t xml:space="preserve">Events of Default. </w:t>
      </w:r>
      <w:r>
        <w:rPr>
          <w:rFonts w:ascii="Times New Roman" w:cs="Times New Roman" w:eastAsia="Times New Roman" w:hAnsi="Times New Roman"/>
          <w:sz w:val="21"/>
          <w:szCs w:val="21"/>
          <w:color w:val="auto"/>
        </w:rPr>
        <w:t>Any one or more of the following shall constitute an</w:t>
      </w:r>
      <w:r>
        <w:rPr>
          <w:rFonts w:ascii="Times New Roman" w:cs="Times New Roman" w:eastAsia="Times New Roman" w:hAnsi="Times New Roman"/>
          <w:sz w:val="21"/>
          <w:szCs w:val="21"/>
          <w:i w:val="1"/>
          <w:iCs w:val="1"/>
          <w:color w:val="auto"/>
        </w:rPr>
        <w:t xml:space="preserve"> “Event of Default” </w:t>
      </w:r>
      <w:r>
        <w:rPr>
          <w:rFonts w:ascii="Times New Roman" w:cs="Times New Roman" w:eastAsia="Times New Roman" w:hAnsi="Times New Roman"/>
          <w:sz w:val="21"/>
          <w:szCs w:val="21"/>
          <w:color w:val="auto"/>
        </w:rPr>
        <w:t>hereunder:</w:t>
      </w:r>
    </w:p>
    <w:p>
      <w:pPr>
        <w:spacing w:after="0" w:line="224" w:lineRule="exact"/>
        <w:rPr>
          <w:sz w:val="20"/>
          <w:szCs w:val="20"/>
          <w:color w:val="auto"/>
        </w:rPr>
      </w:pPr>
    </w:p>
    <w:p>
      <w:pPr>
        <w:jc w:val="both"/>
        <w:ind w:left="660" w:firstLine="644"/>
        <w:spacing w:after="0" w:line="252" w:lineRule="auto"/>
        <w:tabs>
          <w:tab w:leader="none" w:pos="19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when due of all or any part of the principal of or interest on any Loan (whether at the stated maturity thereof or at any other time provided for in this Agreement) or of any Reimbursement Obligation, or default for a period of three (3) days in the payment when due any interest, fee or other Obligation payable hereunder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0" w:name="page231"/>
    <w:bookmarkEnd w:id="230"/>
    <w:p>
      <w:pPr>
        <w:jc w:val="both"/>
        <w:ind w:left="660" w:firstLine="644"/>
        <w:spacing w:after="0" w:line="275" w:lineRule="auto"/>
        <w:tabs>
          <w:tab w:leader="none" w:pos="194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observance or performance of any covenant set forth in Sections 8.1, 8.5, 8.7, 8.8, 8.9, 8.10, 8.11, 8.12, 8.15, 8.16, 8.18, 8.19, 8.20, 8.21, 8.22, 8.23 or 8.24 hereof or of any provision in any Loan Document dealing with the use, disposition or remittance of the proceeds of Collateral or requiring the maintenance of insurance thereon;</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9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observance or performance of any other provision hereof or of any other Loan Document which is not remedied within thirty (30) days after the earlier of (i) the date on which such failure shall first become known to any officer of Holdings or the Borrower or (ii) written notice thereof is given to the Borrower by the Administrative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5" w:lineRule="auto"/>
        <w:tabs>
          <w:tab w:leader="none" w:pos="19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event occurs or condition exists (other than those described in subsections (a) through (d) above) which is specified as an event of default under any of the other Loan Documents, or (ii) any of the Loan Documents shall for any reason not be or shall cease to be in full force and effect or is declared to be null and void, or (iii) any of the Collateral Documents shall for any reason fail to create a valid and perfected first priority Lien in favor of the Administrative Agent in any Collateral purported to be covered thereby except as expressly permitted by the terms thereof, or (iv) the Borrower or any Guarantor takes any action for the purpose of terminating, repudiating or rescinding any Loan Document executed by it or any of its obligations thereunder; or (v) the Borrower or any Guarantor makes any payment on account of any Subordinated Debt which is prohibited under the terms of any instrument subordinating such Subordinated Debt to any Secured Obligations, or any subordination provision in any document or instrument (including, without limitation, any intercreditor or subordination agreement) relating to any Subordinated Debt shall cease to be in full force and effect, or any Person (including the holder of any Subordinated Debt) shall contest in any manner the validity, binding nature or enforceability of any such provision;</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221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occur under any Indebtedness for Borrowed Money issued, assumed or guaranteed by the Borrower or any Borrower Subsidiary aggregating in excess of $500,000, or under any indenture, agreement or other instrument under which the same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87" w:lineRule="exact"/>
        <w:rPr>
          <w:sz w:val="20"/>
          <w:szCs w:val="20"/>
          <w:color w:val="auto"/>
        </w:rPr>
      </w:pPr>
    </w:p>
    <w:p>
      <w:pPr>
        <w:ind w:left="1300" w:firstLine="474"/>
        <w:spacing w:after="0" w:line="271" w:lineRule="auto"/>
        <w:rPr>
          <w:sz w:val="20"/>
          <w:szCs w:val="20"/>
          <w:color w:val="auto"/>
        </w:rPr>
      </w:pPr>
      <w:r>
        <w:rPr>
          <w:rFonts w:ascii="Times New Roman" w:cs="Times New Roman" w:eastAsia="Times New Roman" w:hAnsi="Times New Roman"/>
          <w:sz w:val="22"/>
          <w:szCs w:val="22"/>
          <w:color w:val="auto"/>
        </w:rPr>
        <w:t>ii.default shall occur under any Indebtedness for Borrowed Money issued, assumed or guaranteed by Holdings aggregating in excess of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1" w:name="page232"/>
    <w:bookmarkEnd w:id="231"/>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(including any default under the INTL BOA Facility), or under any indenture, agreement or other instrument under which the same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81" w:lineRule="exact"/>
        <w:rPr>
          <w:sz w:val="20"/>
          <w:szCs w:val="20"/>
          <w:color w:val="auto"/>
        </w:rPr>
      </w:pPr>
    </w:p>
    <w:p>
      <w:pPr>
        <w:jc w:val="both"/>
        <w:ind w:left="1300" w:firstLine="414"/>
        <w:spacing w:after="0" w:line="257" w:lineRule="auto"/>
        <w:rPr>
          <w:sz w:val="20"/>
          <w:szCs w:val="20"/>
          <w:color w:val="auto"/>
        </w:rPr>
      </w:pPr>
      <w:r>
        <w:rPr>
          <w:rFonts w:ascii="Times New Roman" w:cs="Times New Roman" w:eastAsia="Times New Roman" w:hAnsi="Times New Roman"/>
          <w:sz w:val="22"/>
          <w:szCs w:val="22"/>
          <w:color w:val="auto"/>
        </w:rPr>
        <w:t>iii.default shall occur by the Borrower under any Material Contract, except to the extent that no Borrowing Base deficiency would result upon removal of such Material Contract and any related assets from the Borrowing Base;</w:t>
      </w:r>
    </w:p>
    <w:p>
      <w:pPr>
        <w:spacing w:after="0" w:line="173" w:lineRule="exact"/>
        <w:rPr>
          <w:sz w:val="20"/>
          <w:szCs w:val="20"/>
          <w:color w:val="auto"/>
        </w:rPr>
      </w:pPr>
    </w:p>
    <w:p>
      <w:pPr>
        <w:jc w:val="both"/>
        <w:ind w:left="660" w:firstLine="644"/>
        <w:spacing w:after="0" w:line="250" w:lineRule="auto"/>
        <w:tabs>
          <w:tab w:leader="none" w:pos="194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judgments, writ or writs or warrant or warrants of attachment, or any similar process or processes, shall be entered or filed against Holdings, the Borrower or any Borrower Subsidiary, or against any of its Property, in an aggregate amount in excess of $500,000 (except to the extent fully covered by insurance pursuant to which the insurer has accepted liability therefor in writing), and which remains undischarged, unvacated, unbonded or unstayed for a period of thirty (30) days;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occur that, when taken together with all other ERISA Events that have occurred, could reasonably be expected to result in liability of Holdings, the Borrower or any Borrower Subsidiary, or any member of its Controlled Group, in an amount or amounts aggregating in excess of $500,000;</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occur;</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5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Holdings, the Borrower or any Borrower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action in furtherance of any matter described in parts (i) through (v) above, or (vii) fail to contest in good faith any appointment or proceeding described in Section 9.1(k) hereof; or</w:t>
      </w:r>
    </w:p>
    <w:p>
      <w:pPr>
        <w:spacing w:after="0" w:line="17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receiver, trustee, examiner, liquidator or similar official shall be appointed for any of Holdings, the Borrower or any Borrower Subsidiary, or any substantial part of any of its Property, or a proceeding described in Section 9.1(j)(v) shall be instituted against Holdings, the Borrower or any Borrower Subsidiary,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2" w:name="page233"/>
    <w:bookmarkEnd w:id="232"/>
    <w:p>
      <w:pPr>
        <w:ind w:left="660"/>
        <w:spacing w:after="0" w:line="271" w:lineRule="auto"/>
        <w:rPr>
          <w:sz w:val="20"/>
          <w:szCs w:val="20"/>
          <w:color w:val="auto"/>
        </w:rPr>
      </w:pPr>
      <w:r>
        <w:rPr>
          <w:rFonts w:ascii="Times New Roman" w:cs="Times New Roman" w:eastAsia="Times New Roman" w:hAnsi="Times New Roman"/>
          <w:sz w:val="22"/>
          <w:szCs w:val="22"/>
          <w:color w:val="auto"/>
        </w:rPr>
        <w:t>appointment continues undischarged or such proceeding continues undismissed or unstayed for a period of sixty (60) days.</w:t>
      </w:r>
    </w:p>
    <w:p>
      <w:pPr>
        <w:spacing w:after="0" w:line="1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Section b. Non-Bankruptcy Defaults. </w:t>
      </w:r>
      <w:r>
        <w:rPr>
          <w:rFonts w:ascii="Times New Roman" w:cs="Times New Roman" w:eastAsia="Times New Roman" w:hAnsi="Times New Roman"/>
          <w:sz w:val="22"/>
          <w:szCs w:val="22"/>
          <w:color w:val="auto"/>
        </w:rPr>
        <w:t>When any Event of Default (other than those described in subsection (j) or (k)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9.1 hereof with respect to the Borrower)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deliver to the Administrative Agent Cash Collateral in the Minimum Collateral Amount of the aggregate amount of each Letter of Credit then outstanding, and the Borrower agrees to immediately make such payment and acknowledges and agrees that the Lenders would not have an adequate remedy at law for failure by the Borrower to honor any such demand and that the Administrative Agent, for the benefit of the Lenders, shall have the right to require the Borrower to specifically perform such undertaking whether or not any drawings or other demands for payment have been made under any Letter of Credit.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9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c. Bankruptcy Defaults</w:t>
      </w:r>
      <w:r>
        <w:rPr>
          <w:rFonts w:ascii="Times New Roman" w:cs="Times New Roman" w:eastAsia="Times New Roman" w:hAnsi="Times New Roman"/>
          <w:sz w:val="22"/>
          <w:szCs w:val="22"/>
          <w:color w:val="auto"/>
        </w:rPr>
        <w:t>. When any Event of Default described in subsections (j) or (k) of Section 9.1 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the Borrower has occurred and is continuing, then all outstanding Loans shall immediately become due and payable together with all other amounts payable under the Loan Documents without presentment, demand, protest or notice of any kind and the obligation of the Lenders to extend further credit pursuant to any of the terms hereof shall immediately terminate and the Borrower shall immediately deliver to the Administrative Agent Cash Collateral in the Minimum Collateral Amount of the aggregate amount of each Letter of Credit then outstanding, the Borrower acknowledging and agreeing that the Lenders would not have an adequate remedy at law for failure by the Borrower to honor any such demand and that the Lenders, and the Administrative Agent on their behalf, shall have the right to require the Borrower to specifically perform such undertaking whether or not any draws or other demands for payment have been made under any of the Letters of Credit.</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d. Collateral for Undrawn Letters of Credit, </w:t>
      </w:r>
      <w:r>
        <w:rPr>
          <w:rFonts w:ascii="Times New Roman" w:cs="Times New Roman" w:eastAsia="Times New Roman" w:hAnsi="Times New Roman"/>
          <w:sz w:val="22"/>
          <w:szCs w:val="22"/>
          <w:color w:val="auto"/>
        </w:rPr>
        <w:t>If the Cash Collateralization of any Letters of Credit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Section 1.13, Section 9.2 or Section 9.3 above, the Borrower shall forthwith transfer to the Administrative Agent the amount required to be so Cash Collateralized to be held by the Administrative Agent as provided in subsection (b) below.</w:t>
      </w:r>
    </w:p>
    <w:p>
      <w:pPr>
        <w:spacing w:after="0" w:line="170" w:lineRule="exact"/>
        <w:rPr>
          <w:sz w:val="20"/>
          <w:szCs w:val="20"/>
          <w:color w:val="auto"/>
        </w:rPr>
      </w:pPr>
    </w:p>
    <w:p>
      <w:pPr>
        <w:jc w:val="both"/>
        <w:ind w:left="660" w:firstLine="644"/>
        <w:spacing w:after="0" w:line="257" w:lineRule="auto"/>
        <w:tabs>
          <w:tab w:leader="none" w:pos="19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transferred to the Administrative Agent pursuant to subsection (a) above shall be held by the Administrative Agent in one or more separate collateral accounts (each such account, and the credit balances, properties,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3" w:name="page234"/>
    <w:bookmarkEnd w:id="233"/>
    <w:p>
      <w:pPr>
        <w:jc w:val="both"/>
        <w:ind w:left="660"/>
        <w:spacing w:after="0" w:line="257" w:lineRule="auto"/>
        <w:rPr>
          <w:sz w:val="20"/>
          <w:szCs w:val="20"/>
          <w:color w:val="auto"/>
        </w:rPr>
      </w:pPr>
      <w:r>
        <w:rPr>
          <w:rFonts w:ascii="Times New Roman" w:cs="Times New Roman" w:eastAsia="Times New Roman" w:hAnsi="Times New Roman"/>
          <w:sz w:val="21"/>
          <w:szCs w:val="21"/>
          <w:color w:val="auto"/>
        </w:rPr>
        <w:t xml:space="preserve">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cs="Times New Roman" w:eastAsia="Times New Roman" w:hAnsi="Times New Roman"/>
          <w:sz w:val="21"/>
          <w:szCs w:val="21"/>
          <w:i w:val="1"/>
          <w:iCs w:val="1"/>
          <w:color w:val="auto"/>
        </w:rPr>
        <w:t>“Collateral Account”</w:t>
      </w:r>
      <w:r>
        <w:rPr>
          <w:rFonts w:ascii="Times New Roman" w:cs="Times New Roman" w:eastAsia="Times New Roman" w:hAnsi="Times New Roman"/>
          <w:sz w:val="21"/>
          <w:szCs w:val="21"/>
          <w:color w:val="auto"/>
        </w:rPr>
        <w:t xml:space="preserve">) as security for, and for application by the Administrative Agent (to the extent available) to, the reimbursement of any payment under any Letter of Credit then or thereafter made by the L/C Issuer, and to the payment of the unpaid balance of all other Obligations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is irrevocably authorized to sell investments held in the Collateral Account when and as required to make payments out of the Collateral Account for application to amounts due and owing from the Borrower to the L/C Issuer, the Administrative Agent or the Lenders. If the Borrower shall have made payment of all obligations referred to in subsection (a) above required under Section 1.13 hereof, at the request of the Borrower the Administrative Agent shall release to the Borrower amounts held in the Collateral Account so long as at the time of the release and after giving effect thereto no Default or Event of Default exists. If the Borrower shall have made payment of all obligations referred to in subsection (a) above required under Section 9.2 or 9.3 hereof, so long as no Letters of Credit, Commitments, Loans or other Obligations and Funds Transfer and Deposit Account Liability remain outstanding, at the request of the Borrower the Administrative Agent shall release to the Borrower any remaining amounts held in the Collateral Account.</w:t>
      </w:r>
    </w:p>
    <w:p>
      <w:pPr>
        <w:spacing w:after="0" w:line="200" w:lineRule="exact"/>
        <w:rPr>
          <w:sz w:val="20"/>
          <w:szCs w:val="20"/>
          <w:color w:val="auto"/>
        </w:rPr>
      </w:pPr>
    </w:p>
    <w:p>
      <w:pPr>
        <w:spacing w:after="0" w:line="235" w:lineRule="exact"/>
        <w:rPr>
          <w:sz w:val="20"/>
          <w:szCs w:val="20"/>
          <w:color w:val="auto"/>
        </w:rPr>
      </w:pPr>
    </w:p>
    <w:p>
      <w:pPr>
        <w:jc w:val="both"/>
        <w:ind w:left="660" w:firstLine="644"/>
        <w:spacing w:after="0" w:line="250" w:lineRule="auto"/>
        <w:tabs>
          <w:tab w:leader="none" w:pos="19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there shall exist a Defaulting Lender, within one Business Day following the written request of the Administrative Agent or any L/C Issuer (with a copy to the Administrative Agent) the Borrower shall Cash Collateralize the L/C Issuers’ Fronting Exposure with respect to such Defaulting Lender (determined after giving effect to Section 1.12(a)(iv) and any Cash Collateral provided by such Defaulting Lender) in an amount not less than the Minimum Collateral Amount.</w:t>
      </w:r>
    </w:p>
    <w:p>
      <w:pPr>
        <w:spacing w:after="0" w:line="177" w:lineRule="exact"/>
        <w:rPr>
          <w:sz w:val="20"/>
          <w:szCs w:val="20"/>
          <w:color w:val="auto"/>
        </w:rPr>
      </w:pPr>
    </w:p>
    <w:p>
      <w:pPr>
        <w:jc w:val="both"/>
        <w:ind w:left="1300" w:firstLine="426"/>
        <w:spacing w:after="0" w:line="247"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i w:val="1"/>
          <w:iCs w:val="1"/>
          <w:color w:val="auto"/>
        </w:rPr>
        <w:t>Grant of Security Interest</w:t>
      </w:r>
      <w:r>
        <w:rPr>
          <w:rFonts w:ascii="Times New Roman" w:cs="Times New Roman" w:eastAsia="Times New Roman" w:hAnsi="Times New Roman"/>
          <w:sz w:val="22"/>
          <w:szCs w:val="22"/>
          <w:color w:val="auto"/>
        </w:rPr>
        <w:t>. The Borrower, and to the extent provided by any Defaulting Lender, such Defaulting Lender, hereby grant to the Administrative Agent, for the benefit of the L/C Issuers, and agree to maintain, a first priority security interest in all such Cash Collateral as security for such Defaulting Lender’s obligation to fund participations in respect of L/C Obligations, to be applied pursuant to clause (ii) below. If at any time the Administrative Agent determines that Cash Collateral is subject to any right or claim of any Person other than the Administrative Agent and the L/C Issuer as herein provided, or that the total amount of such Cash Collateral is less than the Minimum Collateral Amount, the Borrower shall, promptly upon demand by the Administrative Agent, pay or provide to the Administrative Agent additional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4" w:name="page235"/>
    <w:bookmarkEnd w:id="234"/>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Collateral in an amount sufficient to eliminate such deficiency (after giving effect to any Cash Collateral provided by the Defaulting Lender).</w:t>
      </w:r>
    </w:p>
    <w:p>
      <w:pPr>
        <w:spacing w:after="0" w:line="154" w:lineRule="exact"/>
        <w:rPr>
          <w:sz w:val="20"/>
          <w:szCs w:val="20"/>
          <w:color w:val="auto"/>
        </w:rPr>
      </w:pPr>
    </w:p>
    <w:p>
      <w:pPr>
        <w:jc w:val="both"/>
        <w:ind w:left="1300" w:firstLine="486"/>
        <w:spacing w:after="0" w:line="266" w:lineRule="auto"/>
        <w:rPr>
          <w:sz w:val="20"/>
          <w:szCs w:val="20"/>
          <w:color w:val="auto"/>
        </w:rPr>
      </w:pPr>
      <w:r>
        <w:rPr>
          <w:rFonts w:ascii="Times New Roman" w:cs="Times New Roman" w:eastAsia="Times New Roman" w:hAnsi="Times New Roman"/>
          <w:sz w:val="21"/>
          <w:szCs w:val="21"/>
          <w:color w:val="auto"/>
        </w:rPr>
        <w:t>v.</w:t>
      </w:r>
      <w:r>
        <w:rPr>
          <w:rFonts w:ascii="Times New Roman" w:cs="Times New Roman" w:eastAsia="Times New Roman" w:hAnsi="Times New Roman"/>
          <w:sz w:val="21"/>
          <w:szCs w:val="21"/>
          <w:i w:val="1"/>
          <w:iCs w:val="1"/>
          <w:color w:val="auto"/>
        </w:rPr>
        <w:t>Application</w:t>
      </w:r>
      <w:r>
        <w:rPr>
          <w:rFonts w:ascii="Times New Roman" w:cs="Times New Roman" w:eastAsia="Times New Roman" w:hAnsi="Times New Roman"/>
          <w:sz w:val="21"/>
          <w:szCs w:val="21"/>
          <w:color w:val="auto"/>
        </w:rPr>
        <w:t>. Notwithstanding anything to the contrary contained in this Agreement, Cash Collateral provided under this Section 9.4 or Section 1.12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60" w:lineRule="exact"/>
        <w:rPr>
          <w:sz w:val="20"/>
          <w:szCs w:val="20"/>
          <w:color w:val="auto"/>
        </w:rPr>
      </w:pPr>
    </w:p>
    <w:p>
      <w:pPr>
        <w:jc w:val="both"/>
        <w:ind w:left="1300" w:firstLine="426"/>
        <w:spacing w:after="0" w:line="247"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i w:val="1"/>
          <w:iCs w:val="1"/>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any L/C Issuer’s Fronting Exposure shall no longer be required to be held as Cash Collateral pursuant to this Section 9.4(c) following (A) the elimination of the applicable Fronting Exposure (including by the termination of Defaulting Lender status of the applicable Lender), or (B) the determination by the Administrative Agent and the L/C Issuer that there exists excess Cash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Section 1.12 the Person providing Cash Collateral and the L/C Issuer may agree that Cash Collateral shall be held to support future anticipated Fronting Exposure or other obligations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to the extent that such Cash Collateral was provided by the Borrower, such Cash Collateral shall remain subject to the security interest granted pursuant to the Loan Documents.</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e. Notice of Default</w:t>
      </w:r>
      <w:r>
        <w:rPr>
          <w:rFonts w:ascii="Times New Roman" w:cs="Times New Roman" w:eastAsia="Times New Roman" w:hAnsi="Times New Roman"/>
          <w:sz w:val="22"/>
          <w:szCs w:val="22"/>
          <w:color w:val="auto"/>
        </w:rPr>
        <w:t>. The Administrative Agent shall give notice to the Borrower under Section 9.1(c) 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upon being requested to do so by any Lender and shall thereupon notify all the Lenders thereof.</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CHANGE IN CIRCUMSTANCES.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a. Change of Law</w:t>
      </w:r>
      <w:r>
        <w:rPr>
          <w:rFonts w:ascii="Times New Roman" w:cs="Times New Roman" w:eastAsia="Times New Roman" w:hAnsi="Times New Roman"/>
          <w:sz w:val="22"/>
          <w:szCs w:val="22"/>
          <w:color w:val="auto"/>
        </w:rPr>
        <w:t>. Notwithstanding any other provisions of this Agreement or any other Loan Document, if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time any Change in Law makes it unlawful for any Lender to make or continue to maintain any Eurodollar Loans or to perform its obligations as contemplated hereby, such Lender shall promptly give notice thereof to the Borrower and such Lender’s obligations to make or maintain Eurodollar Loans under this Agreement shall be suspended until it is no longer unlawful for such Lender to make or maintain Eurodollar Loans. The Borrower shall prepay on demand the outstanding principal amount of any such affected Eurodollar Loans, together with all interest accrued thereon and all other amounts then due and payable to such Lender under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subject to all of the terms and conditions of this Agreement, the Borrower may then elect to borrow the principal amount of the affected Eurodollar Loans from such Lender by means of Base Rate Loans from such Lender, which Base Rate Loans shall not be made ratably by the Lenders but only from such affected Lender.</w:t>
      </w:r>
    </w:p>
    <w:p>
      <w:pPr>
        <w:spacing w:after="0" w:line="18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b.</w:t>
      </w:r>
      <w:r>
        <w:rPr>
          <w:sz w:val="20"/>
          <w:szCs w:val="20"/>
          <w:color w:val="auto"/>
        </w:rPr>
        <w:tab/>
      </w:r>
      <w:r>
        <w:rPr>
          <w:rFonts w:ascii="Times New Roman" w:cs="Times New Roman" w:eastAsia="Times New Roman" w:hAnsi="Times New Roman"/>
          <w:sz w:val="21"/>
          <w:szCs w:val="21"/>
          <w:i w:val="1"/>
          <w:iCs w:val="1"/>
          <w:color w:val="auto"/>
        </w:rPr>
        <w:t>Increased Cost and Reduced Return</w:t>
      </w:r>
      <w:r>
        <w:rPr>
          <w:rFonts w:ascii="Times New Roman" w:cs="Times New Roman" w:eastAsia="Times New Roman" w:hAnsi="Times New Roman"/>
          <w:sz w:val="21"/>
          <w:szCs w:val="21"/>
          <w:color w:val="auto"/>
        </w:rPr>
        <w:t>. (a) Increased Costs Generally. 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5" w:name="page236"/>
    <w:bookmarkEnd w:id="235"/>
    <w:p>
      <w:pPr>
        <w:jc w:val="both"/>
        <w:ind w:left="1300" w:firstLine="366"/>
        <w:spacing w:after="0" w:line="257" w:lineRule="auto"/>
        <w:rPr>
          <w:sz w:val="20"/>
          <w:szCs w:val="20"/>
          <w:color w:val="auto"/>
        </w:rPr>
      </w:pPr>
      <w:r>
        <w:rPr>
          <w:rFonts w:ascii="Times New Roman" w:cs="Times New Roman" w:eastAsia="Times New Roman" w:hAnsi="Times New Roman"/>
          <w:sz w:val="22"/>
          <w:szCs w:val="22"/>
          <w:color w:val="auto"/>
        </w:rPr>
        <w:t>vii.impose,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LIBOR) or any L/C Issuer;</w:t>
      </w:r>
    </w:p>
    <w:p>
      <w:pPr>
        <w:spacing w:after="0" w:line="173" w:lineRule="exact"/>
        <w:rPr>
          <w:sz w:val="20"/>
          <w:szCs w:val="20"/>
          <w:color w:val="auto"/>
        </w:rPr>
      </w:pPr>
    </w:p>
    <w:p>
      <w:pPr>
        <w:jc w:val="both"/>
        <w:ind w:left="1300" w:firstLine="306"/>
        <w:spacing w:after="0" w:line="252" w:lineRule="auto"/>
        <w:rPr>
          <w:sz w:val="20"/>
          <w:szCs w:val="20"/>
          <w:color w:val="auto"/>
        </w:rPr>
      </w:pPr>
      <w:r>
        <w:rPr>
          <w:rFonts w:ascii="Times New Roman" w:cs="Times New Roman" w:eastAsia="Times New Roman" w:hAnsi="Times New Roman"/>
          <w:sz w:val="22"/>
          <w:szCs w:val="22"/>
          <w:color w:val="auto"/>
        </w:rPr>
        <w:t>viii.subject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9" w:lineRule="exact"/>
        <w:rPr>
          <w:sz w:val="20"/>
          <w:szCs w:val="20"/>
          <w:color w:val="auto"/>
        </w:rPr>
      </w:pPr>
    </w:p>
    <w:p>
      <w:pPr>
        <w:jc w:val="both"/>
        <w:ind w:left="1300" w:firstLine="426"/>
        <w:spacing w:after="0" w:line="246" w:lineRule="auto"/>
        <w:rPr>
          <w:sz w:val="20"/>
          <w:szCs w:val="20"/>
          <w:color w:val="auto"/>
        </w:rPr>
      </w:pPr>
      <w:r>
        <w:rPr>
          <w:rFonts w:ascii="Times New Roman" w:cs="Times New Roman" w:eastAsia="Times New Roman" w:hAnsi="Times New Roman"/>
          <w:sz w:val="22"/>
          <w:szCs w:val="22"/>
          <w:color w:val="auto"/>
        </w:rPr>
        <w:t>ix.impose on any Lender or any L/C Issuer or the London interbank market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any Loan or of maintaining its obligation to make any such Loan, or to increase the cost to such Lender, such L/C Issuer or such other Recipient of participating in, issuing or maintaining any Letter of Credit (or of maintaining its obligation to participate in or to issue any Letter of Credit), or to reduce the amount of any sum received or receivable by such Lender, L/C Issuer or other Recipient hereunder (whether of principal, interest or any other amount) then, upon request of such Lender, L/C Issuer or other Recipient, the Borrower will pay to such Lender, L/C Issuer or other Recipient, as the case may be, such additional amount or amounts as will compensate such Lender, L/C Issuer or other Recipient, as the case may be, for such additional costs incurred or reduction suffered.</w:t>
      </w:r>
    </w:p>
    <w:p>
      <w:pPr>
        <w:spacing w:after="0" w:line="181" w:lineRule="exact"/>
        <w:rPr>
          <w:sz w:val="20"/>
          <w:szCs w:val="20"/>
          <w:color w:val="auto"/>
        </w:rPr>
      </w:pPr>
    </w:p>
    <w:p>
      <w:pPr>
        <w:jc w:val="both"/>
        <w:ind w:left="660" w:firstLine="644"/>
        <w:spacing w:after="0" w:line="246" w:lineRule="auto"/>
        <w:tabs>
          <w:tab w:leader="none" w:pos="19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Capital Requirements. </w:t>
      </w:r>
      <w:r>
        <w:rPr>
          <w:rFonts w:ascii="Times New Roman" w:cs="Times New Roman" w:eastAsia="Times New Roman" w:hAnsi="Times New Roman"/>
          <w:sz w:val="22"/>
          <w:szCs w:val="22"/>
          <w:color w:val="auto"/>
        </w:rPr>
        <w:t>If any Lender or L/C Issuer determines that any Change in Law affecting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6" w:name="page237"/>
    <w:bookmarkEnd w:id="236"/>
    <w:p>
      <w:pPr>
        <w:jc w:val="both"/>
        <w:ind w:left="660" w:firstLine="644"/>
        <w:spacing w:after="0" w:line="268" w:lineRule="auto"/>
        <w:tabs>
          <w:tab w:leader="none" w:pos="1956"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Certificates for Reimbursement. </w:t>
      </w:r>
      <w:r>
        <w:rPr>
          <w:rFonts w:ascii="Times New Roman" w:cs="Times New Roman" w:eastAsia="Times New Roman" w:hAnsi="Times New Roman"/>
          <w:sz w:val="21"/>
          <w:szCs w:val="21"/>
          <w:color w:val="auto"/>
        </w:rPr>
        <w:t>A certificate of a Lender or L/C Issuer setting forth the amount or amounts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necessary to compensate such Lender or L/C Issuer or its holding company, as the case may be, as specified in subsection</w:t>
      </w:r>
    </w:p>
    <w:p>
      <w:pPr>
        <w:spacing w:after="0" w:line="1"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95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of this Section and delivered to the Borrower, shall be conclusive absent manifest error. The Borrower shall pay such Lender or L/C Issuer, as the case may be, the amount shown as due on any such certificate within ten (10) days after receipt thereof.</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5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Delay in Requests. </w:t>
      </w:r>
      <w:r>
        <w:rPr>
          <w:rFonts w:ascii="Times New Roman" w:cs="Times New Roman" w:eastAsia="Times New Roman" w:hAnsi="Times New Roman"/>
          <w:sz w:val="22"/>
          <w:szCs w:val="22"/>
          <w:color w:val="auto"/>
        </w:rPr>
        <w:t>Failure or delay on the part of any Lender or L/C Issuer to demand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this Section shall not constitute a waiver of such Lender’s or L/C Issuer’s right to demand such compensation;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Borrower shall not be required to compensate a Lender or L/C Issuer pursuant to this Section for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increased costs incurred or reductions suffered more than nine (9)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c. Lending Offices</w:t>
      </w:r>
      <w:r>
        <w:rPr>
          <w:rFonts w:ascii="Times New Roman" w:cs="Times New Roman" w:eastAsia="Times New Roman" w:hAnsi="Times New Roman"/>
          <w:sz w:val="22"/>
          <w:szCs w:val="22"/>
          <w:color w:val="auto"/>
        </w:rPr>
        <w:t>. Each Lender may, at its option, elect to make its Loans hereunder at the branch, office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affiliate specified in its Administrative Questionnaire (each a </w:t>
      </w:r>
      <w:r>
        <w:rPr>
          <w:rFonts w:ascii="Times New Roman" w:cs="Times New Roman" w:eastAsia="Times New Roman" w:hAnsi="Times New Roman"/>
          <w:sz w:val="22"/>
          <w:szCs w:val="22"/>
          <w:i w:val="1"/>
          <w:iCs w:val="1"/>
          <w:color w:val="auto"/>
        </w:rPr>
        <w:t>“Lending Office”</w:t>
      </w:r>
      <w:r>
        <w:rPr>
          <w:rFonts w:ascii="Times New Roman" w:cs="Times New Roman" w:eastAsia="Times New Roman" w:hAnsi="Times New Roman"/>
          <w:sz w:val="22"/>
          <w:szCs w:val="22"/>
          <w:color w:val="auto"/>
        </w:rPr>
        <w:t>) for each type of Loan available hereunder or at such other of its branches, offices or affiliates as it may from time to time elect and designate in a written notice to the Borrower and the Administrative Agent. If any Lender requests compensation under Section 10.2, or requires the Borrower to pay any Indemnified Taxes or additional amounts to any Lender or any Governmental Authority for the account of any Lender pursuant to Section 13.1,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10.2 or 13.1,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d. Discretion of Lender as to Manner of Funding</w:t>
      </w:r>
      <w:r>
        <w:rPr>
          <w:rFonts w:ascii="Times New Roman" w:cs="Times New Roman" w:eastAsia="Times New Roman" w:hAnsi="Times New Roman"/>
          <w:sz w:val="22"/>
          <w:szCs w:val="22"/>
          <w:color w:val="auto"/>
        </w:rPr>
        <w:t>. Notwithstanding any other provision of this Agreement,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shall be entitled to fund and maintain its funding of all or any part of its Loans in any manner it sees fit, it being understood, however, that for the purposes of this Agreement all determinations hereunder with respect to Eurodollar Loans shall be made as if each Lender had actually funded and maintained each Eurodollar Loan through the purchase of deposits in the interbank eurodollar market having a maturity corresponding to such Loan’s Interest Period, and bearing an interest rate equal to LIBOR for such Interest Period.</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THE ADMINISTRATIVE AGENT.</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a. Appointment and Authorization of Administrative Agent</w:t>
      </w:r>
      <w:r>
        <w:rPr>
          <w:rFonts w:ascii="Times New Roman" w:cs="Times New Roman" w:eastAsia="Times New Roman" w:hAnsi="Times New Roman"/>
          <w:sz w:val="22"/>
          <w:szCs w:val="22"/>
          <w:color w:val="auto"/>
        </w:rPr>
        <w:t>. Each of the Lenders and the L/C Issuers hereby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irrevocably appoints the Administrative Agent to act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37" w:name="page238"/>
    <w:bookmarkEnd w:id="237"/>
    <w:p>
      <w:pPr>
        <w:jc w:val="both"/>
        <w:spacing w:after="0" w:line="260" w:lineRule="auto"/>
        <w:rPr>
          <w:sz w:val="20"/>
          <w:szCs w:val="20"/>
          <w:color w:val="auto"/>
        </w:rPr>
      </w:pPr>
      <w:r>
        <w:rPr>
          <w:rFonts w:ascii="Times New Roman" w:cs="Times New Roman" w:eastAsia="Times New Roman" w:hAnsi="Times New Roman"/>
          <w:sz w:val="21"/>
          <w:szCs w:val="21"/>
          <w:color w:val="auto"/>
        </w:rPr>
        <w:t>behalf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the L/C Issuers,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1" w:lineRule="exact"/>
        <w:rPr>
          <w:sz w:val="20"/>
          <w:szCs w:val="20"/>
          <w:color w:val="auto"/>
        </w:rPr>
      </w:pPr>
    </w:p>
    <w:p>
      <w:pPr>
        <w:jc w:val="both"/>
        <w:ind w:right="60" w:firstLine="389"/>
        <w:spacing w:after="0" w:line="248" w:lineRule="auto"/>
        <w:rPr>
          <w:sz w:val="20"/>
          <w:szCs w:val="20"/>
          <w:color w:val="auto"/>
        </w:rPr>
      </w:pPr>
      <w:r>
        <w:rPr>
          <w:rFonts w:ascii="Times New Roman" w:cs="Times New Roman" w:eastAsia="Times New Roman" w:hAnsi="Times New Roman"/>
          <w:sz w:val="22"/>
          <w:szCs w:val="22"/>
          <w:i w:val="1"/>
          <w:iCs w:val="1"/>
          <w:color w:val="auto"/>
        </w:rPr>
        <w:t>Section 11.2. Administrative Agent and its Affiliates</w:t>
      </w:r>
      <w:r>
        <w:rPr>
          <w:rFonts w:ascii="Times New Roman" w:cs="Times New Roman" w:eastAsia="Times New Roman" w:hAnsi="Times New Roman"/>
          <w:sz w:val="22"/>
          <w:szCs w:val="22"/>
          <w:color w:val="auto"/>
        </w:rPr>
        <w:t>. The Administrative Agent shall have the same rights and powers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and the other Loan Documents as any other Lender and may exercise or refrain from exercising such rights and power as though it were not the Administrative Agent, and the Administrative Agent and its affiliates may accept deposits from, lend money to, and generally engage in any kind of business with the Borrower or any Affiliate of the Borrower as if it were not the Administrative Agent under the Loan Documents. The term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as used herein and in all other Loan Documents, unless the context otherwise clearly requires, includes the Administrative Agent in its individual capacity as a Lender (if applicable).</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b. Action by the Administrative Agent</w:t>
      </w:r>
      <w:r>
        <w:rPr>
          <w:rFonts w:ascii="Times New Roman" w:cs="Times New Roman" w:eastAsia="Times New Roman" w:hAnsi="Times New Roman"/>
          <w:sz w:val="22"/>
          <w:szCs w:val="22"/>
          <w:color w:val="auto"/>
        </w:rPr>
        <w:t>. If the Administrative Agent receives from the Borrower a written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 Event of Default pursuant to Section 8.5 hereof, the Administrative Agent shall promptly give each of the Lenders and the L/C Issuer written notice thereof. The obligations of the Administrative Agent under the Loan Documents are only those expressly set forth therein. Without limiting the generality of the foregoing, the Administrative Agent shall not be required to take any action hereunder with respect to any Default or Event of Default, except as expressly provided in Sections 9.2 and 9.5.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and the L/C Issuer. In no event, however, shall the Administrative Agent be required to take any action in violation of applicable law or of any provision of any Loan Document, and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The Administrative Agent shall be entitled to assume that no Default or Event of Default exists unless notified in writing to the contrary by a Lender, the L/C Issuer or the Borrower. In all cases in which the Loan Documents do not require the Administrative Agent to take specific action, the Administrative Agent shall be fully justified in using its discretion in failing to take or in taking any action thereunder. Any instructions of the Required Lenders, or of any other group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71" w:lineRule="auto"/>
        <w:rPr>
          <w:sz w:val="20"/>
          <w:szCs w:val="20"/>
          <w:color w:val="auto"/>
        </w:rPr>
      </w:pPr>
      <w:r>
        <w:rPr>
          <w:rFonts w:ascii="Times New Roman" w:cs="Times New Roman" w:eastAsia="Times New Roman" w:hAnsi="Times New Roman"/>
          <w:sz w:val="22"/>
          <w:szCs w:val="22"/>
          <w:color w:val="auto"/>
        </w:rPr>
        <w:t>Lenders called for under the specific provisions of the Loan Documents, shall be binding upon all the Lenders and the holders of the Obligations.</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c. Consultation with Experts</w:t>
      </w:r>
      <w:r>
        <w:rPr>
          <w:rFonts w:ascii="Times New Roman" w:cs="Times New Roman" w:eastAsia="Times New Roman" w:hAnsi="Times New Roman"/>
          <w:sz w:val="22"/>
          <w:szCs w:val="22"/>
          <w:color w:val="auto"/>
        </w:rPr>
        <w:t>. The Administrative Agent may consult with legal counsel, independent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accountants, and other experts selected by it and shall not be liable for any action taken or omitted to be taken by it in good faith in accordance with the advice of such counsel, accountants or experts.</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Section d. Liability of Administrative Agent; Credit Decision</w:t>
      </w:r>
      <w:r>
        <w:rPr>
          <w:rFonts w:ascii="Times New Roman" w:cs="Times New Roman" w:eastAsia="Times New Roman" w:hAnsi="Times New Roman"/>
          <w:sz w:val="21"/>
          <w:szCs w:val="21"/>
          <w:color w:val="auto"/>
        </w:rPr>
        <w:t>. Neither the Administrative Agent nor any of its directors,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officers, agents or employees shall be liable for any action taken or not taken by it in connection with the Loan Documents: (i) with the consent or at the request of the Required Lenders or (ii) in the absence of its own gross negligence or willful misconduct. Neither the Administrative Agent nor any of its directors, officers, agents or employees shall be responsible for or have any duty to ascertain, inquire into or verify: (i) any statement, warranty or representation made in connection with this Agreement, any other Loan Document or any Credit Event; (ii) the performance or observance of any of the covenants or agreements of Holdings, the Borrower or any Borrower Subsidiary contained herein or in any other Loan Document; (iii) the satisfaction of any condition specified in Section 7 hereof, except receipt of items required to be delivered to the Administrative Agent; or (iv) the validity, effectiveness, genuineness, enforceability, perfection, value, worth or collectability hereof or of any other Loan Document or of any other documents or writing furnished in connection with any Loan Document or of any Collateral; and the Administrative Agent makes no representation of any kind or character with respect to any such matter mentioned in this sentence. The Administrative Agent may execute any of its duties under any of the Loan Documents by or through employees, agents, and attorneys-in-fact and shall not be answerable to the Lenders, the L/C Issuer, the Borrower, or any other Person for the default or misconduct of any such agents or attorneys-in-fact selected with reasonable care. The Administrative Agent shall not incur any liability by acting in reliance upon any notice, consent, certificate, other document or statement (whether written or oral) believed by it to be genuine or to be sent by the proper party or parties. In particular and without limiting any of the foregoing, the Administrative Agent shall have no responsibility for confirming the accuracy of any compliance certificate or other document or instrument received by it under the Loan Documents. The Administrative Agent may treat the payee of any Obligation as the holder thereof until written notice of transfer shall have been filed with the Administrative Agent signed by such payee in form satisfactory to the Administrative Agent. Each Lender and L/C Issuer acknowledges that it has independently and without reliance on the Administrative Agent or any other Lender or L/C Issuer, and based upon such information, investigations and inquiries as it deems appropriate, made its own credit analysis and decision to extend credit to the Borrower in the manner set forth in the Loan Documents. It shall be the responsibility of each Lender and L/C Issuer to keep itself informed as to the creditworthiness of Holdings, the Borrower and the Borrower Subsidiaries, and the Administrative Agent shall have no liability to any Lender or L/C Issuer with respect thereto.</w:t>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e. Indemnity</w:t>
      </w:r>
      <w:r>
        <w:rPr>
          <w:rFonts w:ascii="Times New Roman" w:cs="Times New Roman" w:eastAsia="Times New Roman" w:hAnsi="Times New Roman"/>
          <w:sz w:val="22"/>
          <w:szCs w:val="22"/>
          <w:color w:val="auto"/>
        </w:rPr>
        <w:t>. The Lenders shall ratably, in accordance with their respective Percentages, indemnify and hold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and its directors, officers, employees, agents, and representatives harmless from and against any liabilities, losses,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46" w:lineRule="auto"/>
        <w:rPr>
          <w:sz w:val="20"/>
          <w:szCs w:val="20"/>
          <w:color w:val="auto"/>
        </w:rPr>
      </w:pPr>
      <w:r>
        <w:rPr>
          <w:rFonts w:ascii="Times New Roman" w:cs="Times New Roman" w:eastAsia="Times New Roman" w:hAnsi="Times New Roman"/>
          <w:sz w:val="22"/>
          <w:szCs w:val="22"/>
          <w:color w:val="auto"/>
        </w:rPr>
        <w:t>suffered or incurred by it under any Loan Document or in connection with the transactions contemplated thereby, regardless of when asserted or arising, except to the extent they are promptly reimbursed for the same by the Borrower and except to the extent that any event giving rise to a claim was caused by the gross negligence or willful misconduct of the party seeking to be indemnified as determined by a court of competent jurisdiction by final and nonappealable judgment. The obligations of the Lenders under this Section shall survive termination of this Agreement. The Administrative Agent shall be entitled to offset amounts received for the account of a Lender under this Agreement against unpaid amounts due from such Lender to the Administrative Agent or any L/C Issuer hereunder (whether as fundings of participations, indemnities or otherwise, and with any amounts offset for the benefit of the Administrative Agent to be held by it for its own account and with any amounts offset for the benefit of a L/C Issuer to be remitted by the Administrative Agent to of for the account of such L/C Issuer), but shall not be entitled to offset against amounts owed to the Administrative Agent or any L/C Issuer by any Lender arising outside of this Agreement and the other Loan Documents.</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f. Resignation of Administrative Agent and Successor Administrative Agent</w:t>
      </w:r>
      <w:r>
        <w:rPr>
          <w:rFonts w:ascii="Times New Roman" w:cs="Times New Roman" w:eastAsia="Times New Roman" w:hAnsi="Times New Roman"/>
          <w:sz w:val="22"/>
          <w:szCs w:val="22"/>
          <w:color w:val="auto"/>
        </w:rPr>
        <w:t>. The Administrative Agent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resign at any time by giving written notice thereof to the Lenders, the L/C Issuer and the Borrower. Upon any such resignation of the Administrative Agent,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appoint a successor Administrative Agent, which may be any Lender hereunder or any commercial bank, or an Affiliate of a commercial bank, having an office in the United States of America and having a combined capital and surplus of at least $200,000,000. Upon the acceptance of its appointment as the Administrative Agent hereunder, such successor Administrative Agent shall thereupon succeed to and become vested with all the rights and duties of the retiring Administrative Agent under the Loan Documents, and the retiring Administrative Agent shall be discharged from its duties and obligations thereunder. After any retiring Administrative Agent’s resignation hereunder as Administrative Agent, the provisions of this Section 11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 If the Administrative Agent resigns and no successor is appointed, the rights and obligations of such Administrative Agent shall be automatically assumed by the Required Lenders and (i) the Borrower shall be directed to make all payments due each Lender and L/C Issuer hereunder directly to such Lender or L/C Issuer and (ii) the Administrative Agent’s rights in the Collateral Documents shall be assigned without representation, recourse or warranty to the Lenders and L/C Issuer as their interests may appear.</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g. Hedging Liability; Funds Transfer and Deposit Account Liability Arrangements</w:t>
      </w:r>
      <w:r>
        <w:rPr>
          <w:rFonts w:ascii="Times New Roman" w:cs="Times New Roman" w:eastAsia="Times New Roman" w:hAnsi="Times New Roman"/>
          <w:sz w:val="22"/>
          <w:szCs w:val="22"/>
          <w:color w:val="auto"/>
        </w:rPr>
        <w:t>. By virtue of a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execution of this Agreement or an assignment agreement pursuant to Section 13.10, as the case may be, any Affiliate of such Lender with whom the Borrower or any Guarantor has entered into an agreement creating Hedging Liability or Funds Transfer and Deposit Account Liability shall be deemed a Lender party hereto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0" w:name="page241"/>
    <w:bookmarkEnd w:id="240"/>
    <w:p>
      <w:pPr>
        <w:jc w:val="both"/>
        <w:spacing w:after="0" w:line="246" w:lineRule="auto"/>
        <w:rPr>
          <w:sz w:val="20"/>
          <w:szCs w:val="20"/>
          <w:color w:val="auto"/>
        </w:rPr>
      </w:pPr>
      <w:r>
        <w:rPr>
          <w:rFonts w:ascii="Times New Roman" w:cs="Times New Roman" w:eastAsia="Times New Roman" w:hAnsi="Times New Roman"/>
          <w:sz w:val="22"/>
          <w:szCs w:val="22"/>
          <w:color w:val="auto"/>
        </w:rPr>
        <w:t>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and the Guaranty Agreements as more fully set forth in Section 3.1. In connection with any such distribution of payments and collections, or any request for the release of the Guaranty Agreements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Guaranty Agreements and Liens.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h. Designation of Additional Agents</w:t>
      </w:r>
      <w:r>
        <w:rPr>
          <w:rFonts w:ascii="Times New Roman" w:cs="Times New Roman" w:eastAsia="Times New Roman" w:hAnsi="Times New Roman"/>
          <w:sz w:val="22"/>
          <w:szCs w:val="22"/>
          <w:color w:val="auto"/>
        </w:rPr>
        <w:t>. The Administrative Agent shall have the continuing right, for purposes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i. Authorization to Release or Subordinate or Limit Liens. </w:t>
      </w:r>
      <w:r>
        <w:rPr>
          <w:rFonts w:ascii="Times New Roman" w:cs="Times New Roman" w:eastAsia="Times New Roman" w:hAnsi="Times New Roman"/>
          <w:sz w:val="22"/>
          <w:szCs w:val="22"/>
          <w:color w:val="auto"/>
        </w:rPr>
        <w:t>The Administrative Agent is hereby irrevocably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by each of the Lenders and L/C Issuer to (a) release any Lien covering any Collateral that is sold, transferred, or otherwise disposed of in accordance with the terms and conditions of this Agreement and the relevant Collateral Documents (including a sale, transfer, or disposition permitted by the terms of Section 8.10 hereof or which has otherwise been consented to in accordance with Section 13.13 hereof), (b) release or subordinate any Lien on Collateral consisting of goods financed with purchase money indebtedness or under a Capital Lease to the extent such purchase money indebtedness or Capitalized Lease Obligation, and the Lien securing the same, are permitted by Sections 8.7(b) and 8.8(d) hereof, (c) release or subordinate any Lien on Collateral pledged to secure indebtedness permitted by Section 8.7(k) hereof to the extent the Liens are permitted pursuant to Section 8.8(l) hereof, (d) reduce or limit the amount of the indebtedness secured by any particular item of Collateral to an amount not less than the estimated value thereof to the extent necessary to reduce mortgage registry, filing and similar tax, and (de) release Liens on the Collateral following termination or expiration of the Commitments and payment in full in cash of the Obligations and, if then due, Funds Transfer and Deposit Account Liability and Hedging Liability.</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j. Authorization to Enter into, and Enforcement of, the Collateral Documents</w:t>
      </w:r>
      <w:r>
        <w:rPr>
          <w:rFonts w:ascii="Times New Roman" w:cs="Times New Roman" w:eastAsia="Times New Roman" w:hAnsi="Times New Roman"/>
          <w:sz w:val="22"/>
          <w:szCs w:val="22"/>
          <w:color w:val="auto"/>
        </w:rPr>
        <w:t>. The Administrative Agent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hereby irrevocably authorized by each of the Lenders and the L/C Issuer to execute and deliver the Collateral Documents on behalf of each of the Lenders and their Affiliates and the L/C Issuer, and to take such action and exercise such powers under the Collateral Documents as the Administrative Agent considers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Administrative Agent shall not amend the Collateral Documents unless such amendment is agreed to in writing by the Required Lenders. Each Lender and L/C Issuer acknowledges and agrees that it will be bound by the terms and conditions of the Collateral Documents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2"/>
          <w:szCs w:val="22"/>
          <w:color w:val="auto"/>
        </w:rPr>
        <w:t>execution and delivery thereof by the Administrative Agent. The Lenders and L/C Issuer(s) hereby irrevocably authorize the Administrative Agent, based upon the instruction of the Required Lenders, to credit bid and purchase (either directly or through one or more acquisition vehicles) all or any portion of the Collateral at any sale thereof conducted by the Administrative Agent (or any security trustee therefore) under the provisions of the Uniform Commercial Code, including pursuant to Sections 9-610 or 9-620 of the Uniform Commercial Code, at any sale thereof conducted under the provisions of the United States Bankruptcy Code, including Section 363 of the United States Bankruptcy Code, or at any sale or foreclosure conducted by the Administrative Agent or any security trustee therefore (whether by judicial action or otherwise) in accordance with applicable law. Except as otherwise specifically provided for herein, no Lender (or its Affiliates) or L/C Issuer,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their Affiliates) or L/C Issuer shall have any right in any manner whatsoever to affect, disturb or prejudice the Lien of the Administrative Agent (or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the L/C Issuer, and their Affiliates. Each Lender and L/C Issuer is hereby appointed agent for the purpose of perfecting the Administrative Agent’s security interest in assets which, in accordance with Article 9 of the Uniform Commercial Code or other applicable law can be perfected only by possession. Should any Lender or L/C Issuer (other than the Administrative Agent) obtain possession of any Collateral, such Lender or L/C Issuer shall notify the Administrative Agent thereof, and, promptly upon the Administrative Agent’s request therefor shall deliver such Collateral to the Administrative Agent or in accordance with the Administrative Agent’s instructions.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Section k. Authorization of Administrative Agent to File Proofs of Claim. </w:t>
      </w:r>
      <w:r>
        <w:rPr>
          <w:rFonts w:ascii="Times New Roman" w:cs="Times New Roman" w:eastAsia="Times New Roman" w:hAnsi="Times New Roman"/>
          <w:sz w:val="21"/>
          <w:szCs w:val="21"/>
          <w:color w:val="auto"/>
        </w:rPr>
        <w:t>In case of the pendency of any proceeding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any Debtor Relief Law described in subsection (j) or (k) of Section 9.1 or any other judicial proceeding relative to the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64" w:lineRule="exact"/>
        <w:rPr>
          <w:sz w:val="20"/>
          <w:szCs w:val="20"/>
          <w:color w:val="auto"/>
        </w:rPr>
      </w:pPr>
    </w:p>
    <w:p>
      <w:pPr>
        <w:jc w:val="both"/>
        <w:ind w:left="660" w:firstLine="644"/>
        <w:spacing w:after="0" w:line="248" w:lineRule="auto"/>
        <w:tabs>
          <w:tab w:leader="none" w:pos="19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2" w:name="page243"/>
    <w:bookmarkEnd w:id="242"/>
    <w:p>
      <w:pPr>
        <w:ind w:left="660"/>
        <w:spacing w:after="0" w:line="271" w:lineRule="auto"/>
        <w:rPr>
          <w:sz w:val="20"/>
          <w:szCs w:val="20"/>
          <w:color w:val="auto"/>
        </w:rPr>
      </w:pPr>
      <w:r>
        <w:rPr>
          <w:rFonts w:ascii="Times New Roman" w:cs="Times New Roman" w:eastAsia="Times New Roman" w:hAnsi="Times New Roman"/>
          <w:sz w:val="22"/>
          <w:szCs w:val="22"/>
          <w:color w:val="auto"/>
        </w:rPr>
        <w:t>and the Administrative Agent under including, but not limited to, Sections 1.9, 2.1, 10.3, and 13.15 hereof) allowed in such judicial proceeding; and</w:t>
      </w:r>
    </w:p>
    <w:p>
      <w:pPr>
        <w:spacing w:after="0" w:line="158" w:lineRule="exact"/>
        <w:rPr>
          <w:sz w:val="20"/>
          <w:szCs w:val="20"/>
          <w:color w:val="auto"/>
        </w:rPr>
      </w:pPr>
    </w:p>
    <w:p>
      <w:pPr>
        <w:jc w:val="both"/>
        <w:ind w:left="660" w:firstLine="644"/>
        <w:spacing w:after="0" w:line="246" w:lineRule="auto"/>
        <w:tabs>
          <w:tab w:leader="none" w:pos="195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Sections 2.1 and 13.15 hereof.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Section l. L/C Issuer. </w:t>
      </w:r>
      <w:r>
        <w:rPr>
          <w:rFonts w:ascii="Times New Roman" w:cs="Times New Roman" w:eastAsia="Times New Roman" w:hAnsi="Times New Roman"/>
          <w:sz w:val="21"/>
          <w:szCs w:val="21"/>
          <w:color w:val="auto"/>
        </w:rPr>
        <w:t>The L/C Issuer shall act on behalf of the Lenders with respect to any Letters of Credit issued by 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the documents associated therewith. The L/C Issuer shall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as fully as if the term “Administrative Agent”, as used in this Section 11, included the L/C Issuer with respect to such acts or omissions and</w:t>
      </w:r>
    </w:p>
    <w:p>
      <w:pPr>
        <w:spacing w:after="0" w:line="2" w:lineRule="exact"/>
        <w:rPr>
          <w:sz w:val="20"/>
          <w:szCs w:val="20"/>
          <w:color w:val="auto"/>
        </w:rPr>
      </w:pPr>
    </w:p>
    <w:p>
      <w:pPr>
        <w:ind w:right="4440" w:firstLine="8"/>
        <w:spacing w:after="0" w:line="434" w:lineRule="auto"/>
        <w:tabs>
          <w:tab w:leader="none" w:pos="31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additionally provided in this Agreement with respect to such L/C Issuer. Section 12. THE GUARANTEES.</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Section a. The Guarantees</w:t>
      </w:r>
      <w:r>
        <w:rPr>
          <w:rFonts w:ascii="Times New Roman" w:cs="Times New Roman" w:eastAsia="Times New Roman" w:hAnsi="Times New Roman"/>
          <w:sz w:val="21"/>
          <w:szCs w:val="21"/>
          <w:color w:val="auto"/>
        </w:rPr>
        <w:t>. To induce the Lenders and L/C Issuer to provide the credits described herein and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consideration of benefits expected to accrue to the Borrower by reason of the Commitments and for other good and valuable consideration, receipt of which is hereby acknowledged, Holdings and each Borrower Subsidiary party hereto (including any Borrower Subsidiary executing an Additional Guarantor Supplement in the form attached hereto as Exhibit E or such other form acceptable to the Administrative Agent) and the Borrower (as to the Secured Obligations of a Guarantor) hereby unconditionally and irrevocably guarantees jointly and severally to the Administrative Agent, the Lenders, and the L/C Issuer and their Affiliates, the due and punctual payment of all present and future Secured Obligations, including, but not limited to, the due and punctual payment of principal of and interest on the Loans, the Reimbursement Obligations, and the due and punctual payment of all other Obligations now or hereafter owed by the Borrower under the Loan Documents and the due and punctual payment of all Hedging Liability and Funds Transfer and Deposit Account Liability, in each case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3" w:name="page244"/>
    <w:bookmarkEnd w:id="24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under the United States Bankruptcy Code or any similar proceeding, whether or not such interest, costs, fees and charges would be an allowed claim against the Borrower or any such obligor in any such proceeding);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with respect to any Guarantor, Hedging Liability guaranteed by such Guarantor shall exclude all Excluded Swap Obligations. In case of failure by the Borrower or other obligor punctually to pay any Secured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b. Guarantee Unconditional</w:t>
      </w:r>
      <w:r>
        <w:rPr>
          <w:rFonts w:ascii="Times New Roman" w:cs="Times New Roman" w:eastAsia="Times New Roman" w:hAnsi="Times New Roman"/>
          <w:sz w:val="22"/>
          <w:szCs w:val="22"/>
          <w:color w:val="auto"/>
        </w:rPr>
        <w:t>. The obligations of each Guarantor under this Section 12 shall be unconditional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absolute and, without limiting the generality of the foregoing, shall not be released, discharged, or otherwise affected by:</w:t>
      </w:r>
    </w:p>
    <w:p>
      <w:pPr>
        <w:spacing w:after="0" w:line="153" w:lineRule="exact"/>
        <w:rPr>
          <w:sz w:val="20"/>
          <w:szCs w:val="20"/>
          <w:color w:val="auto"/>
        </w:rPr>
      </w:pPr>
    </w:p>
    <w:p>
      <w:pPr>
        <w:jc w:val="both"/>
        <w:ind w:left="660" w:right="20" w:firstLine="644"/>
        <w:spacing w:after="0" w:line="257"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settlement, compromise, waiver, or release in respect of any obligation of any Loan Party or other obligor or of any other guarantor under this Agreement or any other Loan Document or by operation of law or otherwise;</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this Agreement or any other Loan Document or any agreement relating to Hedging Liability or Funds Transfer and Deposit Account Liability;</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or any insolvency, bankruptcy, reorganization, or other similar proceeding affecting, the Borrower or any Guarantor or other obligor, any other guarantor, or any of their respective assets, or any resulting release or discharge of any obligation of any the Borrower or any Guarantor or other obligor or of any other guarantor contained in any Loan Document;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or other rights which the Borrower, any Guarantor or other obligor or any other guarantor may have at any time against the Administrative Agent, any Lender, the L/C Issuer or any other Person, whether or not arising in connection herewith;</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to assert, or any assertion of, any claim or demand or any exercise of, or failure to exercise, any rights or remedies against the Borrower, any Guarantor or other obligor, any other guarantor, or any other Person or Property;</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of any sums by whomsoever paid or howsoever realized to any obligation of the Borrower, any Guarantor or other obligor, regardless of what obligations of the Borrower, any Guarantor or other obligor remain unpaid;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invalidity or unenforceability relating to or against the Borrower, any Guarantor or other obligor or any other guarantor for any reason of this Agreement or of any other Loan Document or any agreement relating to Hedging Liability or Funds Transfer and Deposit Account Liability or any provision of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4" w:name="page245"/>
    <w:bookmarkEnd w:id="244"/>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purporting to prohibit the payment by the Borrower, any Guarantor or other obligor or any other guarantor of the principal of or interest on any Loan or any Reimbursement Obligation or any other amount payable under the Loan Documents or any agreement relating to Hedging Liability or Funds Transfer and Deposit Account Liability; or</w:t>
      </w:r>
    </w:p>
    <w:p>
      <w:pPr>
        <w:spacing w:after="0" w:line="173" w:lineRule="exact"/>
        <w:rPr>
          <w:sz w:val="20"/>
          <w:szCs w:val="20"/>
          <w:color w:val="auto"/>
        </w:rPr>
      </w:pPr>
    </w:p>
    <w:p>
      <w:pPr>
        <w:jc w:val="both"/>
        <w:ind w:left="660" w:firstLine="644"/>
        <w:spacing w:after="0" w:line="257" w:lineRule="auto"/>
        <w:tabs>
          <w:tab w:leader="none" w:pos="195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the Administrative Agent, any Lender, the L/C Issuer, or any other Person or any other circumstance whatsoever that might, but for the provisions of this subsection, constitute a legal or equitable discharge of the obligations of any Guarantor under this Section 12.</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c. Discharge Only upon Payment in Full; Reinstatement in Certain Circumstances</w:t>
      </w:r>
      <w:r>
        <w:rPr>
          <w:rFonts w:ascii="Times New Roman" w:cs="Times New Roman" w:eastAsia="Times New Roman" w:hAnsi="Times New Roman"/>
          <w:sz w:val="22"/>
          <w:szCs w:val="22"/>
          <w:color w:val="auto"/>
        </w:rPr>
        <w:t>. Each Guarantor’s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this Section 12 shall remain in full force and effect until the Commitments are terminated, all Letters of Credit have expired, and the principal of and interest on the Loans and all other amounts payable by the Borrower and the Guarantors under this Agreement and all other Loan Documents and, if then outstanding and unpaid, all Hedging Liability and Funds Transfer and Deposit Account Liability shall have been paid in full. If at any time any payment of the principal of or interest on any Loan or any Reimbursement Obligation or any other amount payable by the Borrower, any Guarantor or other obligor or any guarantor under the Loan Documents or any agreement relating to Hedging Liability or Funds Transfer and Deposit Account Liability is rescinded or must be otherwise restored or returned upon the insolvency, bankruptcy, or reorganization of the Borrower, such Guarantor or other obligor or of any guarantor, or otherwise, each Guarantor’s obligations under this Section 12 with respect to such payment shall be reinstated at such time as though such payment had become due but had not been made at such time.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d. Subrogation</w:t>
      </w:r>
      <w:r>
        <w:rPr>
          <w:rFonts w:ascii="Times New Roman" w:cs="Times New Roman" w:eastAsia="Times New Roman" w:hAnsi="Times New Roman"/>
          <w:sz w:val="22"/>
          <w:szCs w:val="22"/>
          <w:color w:val="auto"/>
        </w:rPr>
        <w:t>. Each Guarantor agrees it will not exercise any rights which it may acquire by way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subrogation by any payment made hereunder, or otherwise, until all the Secured Obligations shall have been paid in full subsequent to the termination of all the Commitments and expiration of all Letters of Credit. If any amount shall be paid to a Guarantor on account of such subrogation rights at any time prior to the later of (x) the payment in full of the Secured Obligations and all other amounts payable by the Borrower and the Guarantors hereunder and the other Loan Documents and (y) the termination of the Commitments and expiration of all Letters of Credit, such amount shall be held in trust for the benefit of the Administrative Agent, the Lenders, and the L/C Issuer (and their Affiliates) and shall forthwith be paid to the Administrative Agent for the benefit of the Lenders and L/C Issuer (and their Affiliates) or be credited and applied upon the Secured Obligations, whether matured or unmatured, in accordance with the terms of this Agreement.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Section e. Subordination</w:t>
      </w:r>
      <w:r>
        <w:rPr>
          <w:rFonts w:ascii="Times New Roman" w:cs="Times New Roman" w:eastAsia="Times New Roman" w:hAnsi="Times New Roman"/>
          <w:sz w:val="21"/>
          <w:szCs w:val="21"/>
          <w:color w:val="auto"/>
        </w:rPr>
        <w:t>. Each Guarantor (each referred to herein as a</w:t>
      </w:r>
      <w:r>
        <w:rPr>
          <w:rFonts w:ascii="Times New Roman" w:cs="Times New Roman" w:eastAsia="Times New Roman" w:hAnsi="Times New Roman"/>
          <w:sz w:val="21"/>
          <w:szCs w:val="21"/>
          <w:i w:val="1"/>
          <w:iCs w:val="1"/>
          <w:color w:val="auto"/>
        </w:rPr>
        <w:t xml:space="preserve"> “Subordinated Creditor”</w:t>
      </w:r>
      <w:r>
        <w:rPr>
          <w:rFonts w:ascii="Times New Roman" w:cs="Times New Roman" w:eastAsia="Times New Roman" w:hAnsi="Times New Roman"/>
          <w:sz w:val="21"/>
          <w:szCs w:val="21"/>
          <w:color w:val="auto"/>
        </w:rPr>
        <w:t>) hereby subordinates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payment of all indebtedness, obligations, and liabilities of the Borrower or another Guarantor owing to such Subordinated Creditor, whether now existing or hereafter arising, to the indefeasible payment in full in cash of all Secured Obligations. During the existence of any Event of Default, subject to Section 12.4, any such indebtedness, obligation, or liability of the Borrower or another Guarantor owing to such Subordinated Creditor shall be enforced and performance received by such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57" w:lineRule="auto"/>
        <w:rPr>
          <w:sz w:val="20"/>
          <w:szCs w:val="20"/>
          <w:color w:val="auto"/>
        </w:rPr>
      </w:pPr>
      <w:r>
        <w:rPr>
          <w:rFonts w:ascii="Times New Roman" w:cs="Times New Roman" w:eastAsia="Times New Roman" w:hAnsi="Times New Roman"/>
          <w:sz w:val="22"/>
          <w:szCs w:val="22"/>
          <w:color w:val="auto"/>
        </w:rPr>
        <w:t>Creditor as trustee for the benefit of the holders of the Secured Obligations and the proceeds thereof shall be paid over to the Administrative Agent for application to the Secured Obligations (whether or not then due), but without reducing or affecting in any manner the liability of such Guarantor under this Section 12.</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Section f. Waivers</w:t>
      </w:r>
      <w:r>
        <w:rPr>
          <w:rFonts w:ascii="Times New Roman" w:cs="Times New Roman" w:eastAsia="Times New Roman" w:hAnsi="Times New Roman"/>
          <w:sz w:val="22"/>
          <w:szCs w:val="22"/>
          <w:color w:val="auto"/>
        </w:rPr>
        <w:t>. Each Guarantor irrevocably waives acceptance hereof, presentment, demand, protest,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not provided for herein, as well as any requirement that at any time any action be taken by the Administrative Agent, any Lender, the L/C Issuer, or any other Person against the Borrower or any Guarantor or other obligor, another guarantor, or any other Person.</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g. Limit on Recovery</w:t>
      </w:r>
      <w:r>
        <w:rPr>
          <w:rFonts w:ascii="Times New Roman" w:cs="Times New Roman" w:eastAsia="Times New Roman" w:hAnsi="Times New Roman"/>
          <w:sz w:val="22"/>
          <w:szCs w:val="22"/>
          <w:color w:val="auto"/>
        </w:rPr>
        <w:t>. Notwithstanding any other provision hereof, the right of recovery against each Guarantor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this Section 12 shall not exceed $1.00 less than the lowest amount which would render such Guarantor’s obligations under this Section 12 void or voidable under applicable law, including, without limitation, fraudulent conveyance law.</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h. Stay of Acceleration</w:t>
      </w:r>
      <w:r>
        <w:rPr>
          <w:rFonts w:ascii="Times New Roman" w:cs="Times New Roman" w:eastAsia="Times New Roman" w:hAnsi="Times New Roman"/>
          <w:sz w:val="22"/>
          <w:szCs w:val="22"/>
          <w:color w:val="auto"/>
        </w:rPr>
        <w:t>. If acceleration of the time for payment of any amount payable by the Borrower,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or other obligor under this Agreement or any other Loan Document, or under any agreement relating to Hedging Liability or Funds Transfer and Deposit Account Liability, is stayed upon the insolvency, bankruptcy or reorganization of the Borrower or Guarantor or obligor, all such amounts otherwise subject to acceleration under the terms of this Agreement or the other Loan Documents, or under any agreement relating to Hedging Liability or Funds Transfer and Deposit Account Liability, shall nonetheless be payable by the Guarantors hereunder forthwith on demand by the Administrative Agent made at the request or otherwise with the consent of the Required Lenders.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Section i. Benefit to Guarantors</w:t>
      </w:r>
      <w:r>
        <w:rPr>
          <w:rFonts w:ascii="Times New Roman" w:cs="Times New Roman" w:eastAsia="Times New Roman" w:hAnsi="Times New Roman"/>
          <w:sz w:val="22"/>
          <w:szCs w:val="22"/>
          <w:color w:val="auto"/>
        </w:rPr>
        <w:t>. The Borrower and the Guarantors are engaged in related businesses and integrated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an extent that the financial strength and flexibility of the Borrower and the Guarantors has a direct impact on the success of each Guarantor. Each Guarantor will derive substantial direct and indirect benefit from the extensions of credit hereunder, and each Guarantor acknowledges that this guarantee is necessary or convenient to the conduct, promotion and attainment of its business.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j. Keepwell</w:t>
      </w:r>
      <w:r>
        <w:rPr>
          <w:rFonts w:ascii="Times New Roman" w:cs="Times New Roman" w:eastAsia="Times New Roman" w:hAnsi="Times New Roman"/>
          <w:sz w:val="22"/>
          <w:szCs w:val="22"/>
          <w:color w:val="auto"/>
        </w:rPr>
        <w:t>. Each Qualified ECP Guarantor hereby jointly and severally absolutely, unconditionally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irrevocably undertakes to provide such funds or other support as may be needed from time to time by each the Borrower and other Guarantors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12.3. Each Qualified ECP Guarantor intends that this Section constitute, and this Section shall be deemed to constitute, a “keepwell, support, or other agreement” for the benefit of the Borrower and each Guarantor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6" w:name="page247"/>
    <w:bookmarkEnd w:id="246"/>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color w:val="auto"/>
        </w:rPr>
        <w:t>MISCELLANEOUS.</w:t>
      </w:r>
    </w:p>
    <w:p>
      <w:pPr>
        <w:spacing w:after="0" w:line="21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a.</w:t>
      </w:r>
      <w:r>
        <w:rPr>
          <w:sz w:val="20"/>
          <w:szCs w:val="20"/>
          <w:color w:val="auto"/>
        </w:rPr>
        <w:tab/>
      </w:r>
      <w:r>
        <w:rPr>
          <w:rFonts w:ascii="Times New Roman" w:cs="Times New Roman" w:eastAsia="Times New Roman" w:hAnsi="Times New Roman"/>
          <w:sz w:val="21"/>
          <w:szCs w:val="21"/>
          <w:i w:val="1"/>
          <w:iCs w:val="1"/>
          <w:color w:val="auto"/>
        </w:rPr>
        <w:t>Withholding Taxes.</w:t>
      </w:r>
    </w:p>
    <w:p>
      <w:pPr>
        <w:spacing w:after="0" w:line="220" w:lineRule="exact"/>
        <w:rPr>
          <w:sz w:val="20"/>
          <w:szCs w:val="20"/>
          <w:color w:val="auto"/>
        </w:rPr>
      </w:pPr>
    </w:p>
    <w:p>
      <w:pPr>
        <w:ind w:left="660" w:right="20" w:firstLine="644"/>
        <w:spacing w:after="0" w:line="275" w:lineRule="auto"/>
        <w:tabs>
          <w:tab w:leader="none" w:pos="19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Defined Terms. </w:t>
      </w:r>
      <w:r>
        <w:rPr>
          <w:rFonts w:ascii="Times New Roman" w:cs="Times New Roman" w:eastAsia="Times New Roman" w:hAnsi="Times New Roman"/>
          <w:sz w:val="22"/>
          <w:szCs w:val="22"/>
          <w:color w:val="auto"/>
        </w:rPr>
        <w:t>For purposes of this Section, the term “Lender” includes any L/C Issuer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“applicable law” includes FATCA.</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Free of Taxes. </w:t>
      </w:r>
      <w:r>
        <w:rPr>
          <w:rFonts w:ascii="Times New Roman" w:cs="Times New Roman" w:eastAsia="Times New Roman" w:hAnsi="Times New Roman"/>
          <w:sz w:val="22"/>
          <w:szCs w:val="22"/>
          <w:color w:val="auto"/>
        </w:rPr>
        <w:t>Any and all payments by or on account of any obligation of the Borrower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the applicable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7"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Borrower and the Guarantors. </w:t>
      </w:r>
      <w:r>
        <w:rPr>
          <w:rFonts w:ascii="Times New Roman" w:cs="Times New Roman" w:eastAsia="Times New Roman" w:hAnsi="Times New Roman"/>
          <w:sz w:val="22"/>
          <w:szCs w:val="22"/>
          <w:color w:val="auto"/>
        </w:rPr>
        <w:t>The Borrower and the Guarantors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timely pay to the relevant Governmental Authority in accordance with applicable law, or at the option of the Administrative Agent timely reimburse it for the payment of, any Other Taxes.</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Borrower and the Guarantors. </w:t>
      </w:r>
      <w:r>
        <w:rPr>
          <w:rFonts w:ascii="Times New Roman" w:cs="Times New Roman" w:eastAsia="Times New Roman" w:hAnsi="Times New Roman"/>
          <w:sz w:val="22"/>
          <w:szCs w:val="22"/>
          <w:color w:val="auto"/>
        </w:rPr>
        <w:t>The Borrower and the Guarantors shall jointly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days after demand therefor, for (i) any Indemnified Taxes or Other Taxes attributable to such Lender (but only to the extent that the Borrower or any Guarantor has not already indemnified the Administrative Agent for such Indemnified Taxes or Other Taxes and without limiting the obligation of the Borrower and the Guarantors to do so), (ii) any Taxes attributable to such Lender’s failure to comply with the provisions of Section 13.11 relating to the maintenance of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7" w:name="page248"/>
    <w:bookmarkEnd w:id="247"/>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(e).</w:t>
      </w:r>
    </w:p>
    <w:p>
      <w:pPr>
        <w:spacing w:after="0" w:line="181" w:lineRule="exact"/>
        <w:rPr>
          <w:sz w:val="20"/>
          <w:szCs w:val="20"/>
          <w:color w:val="auto"/>
        </w:rPr>
      </w:pPr>
    </w:p>
    <w:p>
      <w:pPr>
        <w:jc w:val="both"/>
        <w:ind w:left="660" w:firstLine="644"/>
        <w:spacing w:after="0" w:line="251" w:lineRule="auto"/>
        <w:tabs>
          <w:tab w:leader="none" w:pos="19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As soon as practicable after any payment of Taxes by the Borrower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45" w:lineRule="auto"/>
        <w:tabs>
          <w:tab w:leader="none" w:pos="19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Status of Lenders. </w:t>
      </w:r>
      <w:r>
        <w:rPr>
          <w:rFonts w:ascii="Times New Roman" w:cs="Times New Roman" w:eastAsia="Times New Roman" w:hAnsi="Times New Roman"/>
          <w:sz w:val="22"/>
          <w:szCs w:val="22"/>
          <w:color w:val="auto"/>
        </w:rPr>
        <w:t>Any Lender that is entitled to an exemption from or reduction of withholding Tax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13.1(g)(ii)(A),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x.Without limiting the generality of the foregoing,</w:t>
      </w:r>
    </w:p>
    <w:p>
      <w:pPr>
        <w:spacing w:after="0" w:line="220" w:lineRule="exact"/>
        <w:rPr>
          <w:sz w:val="20"/>
          <w:szCs w:val="20"/>
          <w:color w:val="auto"/>
        </w:rPr>
      </w:pPr>
    </w:p>
    <w:p>
      <w:pPr>
        <w:jc w:val="both"/>
        <w:ind w:left="1960" w:firstLine="640"/>
        <w:spacing w:after="0" w:line="250" w:lineRule="auto"/>
        <w:tabs>
          <w:tab w:leader="none" w:pos="32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8" w:name="page249"/>
    <w:bookmarkEnd w:id="248"/>
    <w:p>
      <w:pPr>
        <w:jc w:val="both"/>
        <w:ind w:left="1960" w:firstLine="640"/>
        <w:spacing w:after="0" w:line="250" w:lineRule="auto"/>
        <w:tabs>
          <w:tab w:leader="none" w:pos="325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2600" w:firstLine="648"/>
        <w:spacing w:after="0" w:line="247" w:lineRule="auto"/>
        <w:tabs>
          <w:tab w:leader="none" w:pos="388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IRS Form W-8ECI;</w:t>
      </w:r>
    </w:p>
    <w:p>
      <w:pPr>
        <w:spacing w:after="0" w:line="219" w:lineRule="exact"/>
        <w:rPr>
          <w:rFonts w:ascii="Times New Roman" w:cs="Times New Roman" w:eastAsia="Times New Roman" w:hAnsi="Times New Roman"/>
          <w:sz w:val="22"/>
          <w:szCs w:val="22"/>
          <w:color w:val="auto"/>
        </w:rPr>
      </w:pPr>
    </w:p>
    <w:p>
      <w:pPr>
        <w:jc w:val="both"/>
        <w:ind w:left="2600" w:firstLine="648"/>
        <w:spacing w:after="0" w:line="263" w:lineRule="auto"/>
        <w:tabs>
          <w:tab w:leader="none" w:pos="3884"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1"/>
          <w:szCs w:val="21"/>
          <w:i w:val="1"/>
          <w:iCs w:val="1"/>
          <w:color w:val="auto"/>
        </w:rPr>
        <w:t>“U.S. Tax Compliance Certificate”</w:t>
      </w:r>
      <w:r>
        <w:rPr>
          <w:rFonts w:ascii="Times New Roman" w:cs="Times New Roman" w:eastAsia="Times New Roman" w:hAnsi="Times New Roman"/>
          <w:sz w:val="21"/>
          <w:szCs w:val="21"/>
          <w:color w:val="auto"/>
        </w:rPr>
        <w:t>) and (y) executed originals of IRS Form W-8BEN or IRS Form W-8BEN-E; or</w:t>
      </w:r>
    </w:p>
    <w:p>
      <w:pPr>
        <w:spacing w:after="0" w:line="167" w:lineRule="exact"/>
        <w:rPr>
          <w:rFonts w:ascii="Times New Roman" w:cs="Times New Roman" w:eastAsia="Times New Roman" w:hAnsi="Times New Roman"/>
          <w:sz w:val="21"/>
          <w:szCs w:val="21"/>
          <w:color w:val="auto"/>
        </w:rPr>
      </w:pPr>
    </w:p>
    <w:p>
      <w:pPr>
        <w:jc w:val="both"/>
        <w:ind w:left="2600" w:firstLine="648"/>
        <w:spacing w:after="0" w:line="247" w:lineRule="auto"/>
        <w:tabs>
          <w:tab w:leader="none" w:pos="389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originals of IRS Form W-8IMY, accompanied by IRS Form W-8ECI, IRS Form W-8BEN, IRS Form W-8BEN-E, a U.S. Tax Compliance Certificate in the form acceptable to the Administrative Agent,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in the form acceptable to the Administrative Agent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49" w:name="page250"/>
    <w:bookmarkEnd w:id="249"/>
    <w:p>
      <w:pPr>
        <w:jc w:val="both"/>
        <w:ind w:left="1960" w:firstLine="640"/>
        <w:spacing w:after="0" w:line="247" w:lineRule="auto"/>
        <w:tabs>
          <w:tab w:leader="none" w:pos="324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5" w:lineRule="exact"/>
        <w:rPr>
          <w:rFonts w:ascii="Times New Roman" w:cs="Times New Roman" w:eastAsia="Times New Roman" w:hAnsi="Times New Roman"/>
          <w:sz w:val="22"/>
          <w:szCs w:val="22"/>
          <w:color w:val="auto"/>
        </w:rPr>
      </w:pPr>
    </w:p>
    <w:p>
      <w:pPr>
        <w:jc w:val="both"/>
        <w:ind w:left="1960" w:firstLine="640"/>
        <w:spacing w:after="0" w:line="258" w:lineRule="auto"/>
        <w:tabs>
          <w:tab w:leader="none" w:pos="3256"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5" w:lineRule="exact"/>
        <w:rPr>
          <w:rFonts w:ascii="Times New Roman" w:cs="Times New Roman" w:eastAsia="Times New Roman" w:hAnsi="Times New Roman"/>
          <w:sz w:val="21"/>
          <w:szCs w:val="21"/>
          <w:color w:val="auto"/>
        </w:rPr>
      </w:pPr>
    </w:p>
    <w:p>
      <w:pPr>
        <w:jc w:val="both"/>
        <w:ind w:left="1960" w:hanging="8"/>
        <w:spacing w:after="0" w:line="244" w:lineRule="auto"/>
        <w:tabs>
          <w:tab w:leader="none" w:pos="22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xml:space="preserve"> shall include any amendments made to FATCA after the date of this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9" w:lineRule="exact"/>
        <w:rPr>
          <w:sz w:val="20"/>
          <w:szCs w:val="20"/>
          <w:color w:val="auto"/>
        </w:rPr>
      </w:pPr>
    </w:p>
    <w:p>
      <w:pPr>
        <w:jc w:val="both"/>
        <w:ind w:left="660" w:firstLine="644"/>
        <w:spacing w:after="0" w:line="247" w:lineRule="auto"/>
        <w:tabs>
          <w:tab w:leader="none" w:pos="195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Treatment of Certain Refunds. </w:t>
      </w:r>
      <w:r>
        <w:rPr>
          <w:rFonts w:ascii="Times New Roman" w:cs="Times New Roman" w:eastAsia="Times New Roman" w:hAnsi="Times New Roman"/>
          <w:sz w:val="22"/>
          <w:szCs w:val="22"/>
          <w:color w:val="auto"/>
        </w:rPr>
        <w:t>If any party determines, in its sole discretion exercised in good faith, that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(h) (plus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50" w:name="page251"/>
    <w:bookmarkEnd w:id="250"/>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penalties, interest or other charges imposed by the relevant Governmental Authority) in the event that such indemnified party is required to repay such refund to such Governmental Authority. Notwithstanding anything to the contrary in this subsection (h), in no event will the indemnified party be required to pay any amount to an indemnifying party pursuant to this subsection (h)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81" w:lineRule="exact"/>
        <w:rPr>
          <w:sz w:val="20"/>
          <w:szCs w:val="20"/>
          <w:color w:val="auto"/>
        </w:rPr>
      </w:pPr>
    </w:p>
    <w:p>
      <w:pPr>
        <w:jc w:val="both"/>
        <w:ind w:left="660" w:firstLine="644"/>
        <w:spacing w:after="0" w:line="259" w:lineRule="auto"/>
        <w:tabs>
          <w:tab w:leader="none" w:pos="195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Survival. </w:t>
      </w:r>
      <w:r>
        <w:rPr>
          <w:rFonts w:ascii="Times New Roman" w:cs="Times New Roman" w:eastAsia="Times New Roman" w:hAnsi="Times New Roman"/>
          <w:sz w:val="22"/>
          <w:szCs w:val="22"/>
          <w:color w:val="auto"/>
        </w:rPr>
        <w:t>Each party’s obligations under this Section 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Loan Document.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b. No Waiver, Cumulative Remedies. </w:t>
      </w:r>
      <w:r>
        <w:rPr>
          <w:rFonts w:ascii="Times New Roman" w:cs="Times New Roman" w:eastAsia="Times New Roman" w:hAnsi="Times New Roman"/>
          <w:sz w:val="22"/>
          <w:szCs w:val="22"/>
          <w:color w:val="auto"/>
        </w:rPr>
        <w:t>No delay or failure on the part of the Administrative Agent or any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Section c. Non-Business Days. </w:t>
      </w:r>
      <w:r>
        <w:rPr>
          <w:rFonts w:ascii="Times New Roman" w:cs="Times New Roman" w:eastAsia="Times New Roman" w:hAnsi="Times New Roman"/>
          <w:sz w:val="22"/>
          <w:szCs w:val="22"/>
          <w:color w:val="auto"/>
        </w:rPr>
        <w:t>If any payment hereunder becomes due and payable on a day which is not a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7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d.</w:t>
      </w:r>
      <w:r>
        <w:rPr>
          <w:sz w:val="20"/>
          <w:szCs w:val="20"/>
          <w:color w:val="auto"/>
        </w:rPr>
        <w:tab/>
      </w:r>
      <w:r>
        <w:rPr>
          <w:rFonts w:ascii="Times New Roman" w:cs="Times New Roman" w:eastAsia="Times New Roman" w:hAnsi="Times New Roman"/>
          <w:sz w:val="21"/>
          <w:szCs w:val="21"/>
          <w:i w:val="1"/>
          <w:iCs w:val="1"/>
          <w:color w:val="auto"/>
        </w:rPr>
        <w:t>Intentionally Omitted.</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e. Survival of Representations. </w:t>
      </w:r>
      <w:r>
        <w:rPr>
          <w:rFonts w:ascii="Times New Roman" w:cs="Times New Roman" w:eastAsia="Times New Roman" w:hAnsi="Times New Roman"/>
          <w:sz w:val="22"/>
          <w:szCs w:val="22"/>
          <w:color w:val="auto"/>
        </w:rPr>
        <w:t>All representations and warranties made herein or in any other Loan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f. Survival of Indemnities</w:t>
      </w:r>
      <w:r>
        <w:rPr>
          <w:rFonts w:ascii="Times New Roman" w:cs="Times New Roman" w:eastAsia="Times New Roman" w:hAnsi="Times New Roman"/>
          <w:sz w:val="22"/>
          <w:szCs w:val="22"/>
          <w:color w:val="auto"/>
        </w:rPr>
        <w:t>. All indemnities and other provisions relative to reimbursement to the Lenders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L/C Issuer of amounts sufficient to protect the yield of the Lenders and L/C Issuer with respect to the Loans and Letters of Credit,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51" w:name="page252"/>
    <w:bookmarkEnd w:id="251"/>
    <w:p>
      <w:pPr>
        <w:jc w:val="both"/>
        <w:spacing w:after="0" w:line="271" w:lineRule="auto"/>
        <w:rPr>
          <w:sz w:val="20"/>
          <w:szCs w:val="20"/>
          <w:color w:val="auto"/>
        </w:rPr>
      </w:pPr>
      <w:r>
        <w:rPr>
          <w:rFonts w:ascii="Times New Roman" w:cs="Times New Roman" w:eastAsia="Times New Roman" w:hAnsi="Times New Roman"/>
          <w:sz w:val="22"/>
          <w:szCs w:val="22"/>
          <w:color w:val="auto"/>
        </w:rPr>
        <w:t>to, Sections 1.9, 10.3, and 13.15 hereof, shall survive the termination of this Agreement and the other Loan Documents and the payment of the Obligations.</w:t>
      </w:r>
    </w:p>
    <w:p>
      <w:pPr>
        <w:spacing w:after="0" w:line="15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Section g. Sharing of Set-Off. </w:t>
      </w:r>
      <w:r>
        <w:rPr>
          <w:rFonts w:ascii="Times New Roman" w:cs="Times New Roman" w:eastAsia="Times New Roman" w:hAnsi="Times New Roman"/>
          <w:sz w:val="22"/>
          <w:szCs w:val="22"/>
          <w:color w:val="auto"/>
        </w:rPr>
        <w:t>If any Lender shall, by exercising any right of setoff or counterclaim or otherwise, obtain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-1173480</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9" w:lineRule="exact"/>
        <w:rPr>
          <w:sz w:val="20"/>
          <w:szCs w:val="20"/>
          <w:color w:val="auto"/>
        </w:rPr>
      </w:pPr>
    </w:p>
    <w:p>
      <w:pPr>
        <w:jc w:val="both"/>
        <w:ind w:left="660" w:firstLine="644"/>
        <w:spacing w:after="0" w:line="257" w:lineRule="auto"/>
        <w:tabs>
          <w:tab w:leader="none" w:pos="195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or participations in L/C Obligations to any assignee or participant, other than to any Loan Party or any Subsidiary thereof (as to which the provisions of this Section shall apply).</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h. Notices</w:t>
      </w:r>
      <w:r>
        <w:rPr>
          <w:rFonts w:ascii="Times New Roman" w:cs="Times New Roman" w:eastAsia="Times New Roman" w:hAnsi="Times New Roman"/>
          <w:sz w:val="22"/>
          <w:szCs w:val="22"/>
          <w:color w:val="auto"/>
        </w:rPr>
        <w:t>. Except as otherwise specified herein, all notices hereunder and under the other Loan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any Guarantor, the Administrative Agent or L/C Issuer shall be addressed to its respective address or telecopier number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52" w:name="page253"/>
    <w:bookmarkEnd w:id="252"/>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to the Borrower or any Guarantor (other than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Holdings):</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FCStone Merchant Services, LLC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1251 NW Briarcliff Parkway, Suite 800</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Kansas City, MO 64116</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Attention: Brent Grecian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Telephone: 816-410-7123</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Telecopy: 816-741-2904</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Holdings: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INTL FCStone Inc.</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708 Third Avenue, Suite 1500</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Attention: Bruce Fields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Telephone: (212) 485-3518</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Fax: (212) 485-3505</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1251 NW Briarcliff Parkway, Suite 800</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Kansas City, MO 64116</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Attention: Bill Dunaway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Telephone: (816) 410-7129</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Fax: (816) 410-7450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Administrative Agent: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Rabobank Corporate Banking Services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Park Avenue, 38th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Thomas Ollen/Ann McDonough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212-574-7328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Thomas.Ollen@rabobank.com with a copy to fm.am.syndicatedloans@rabobank.com</w:t>
      </w: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L/C Issuer: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Rabobank Corporate Banking Services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245 Park Avenue, 38th Floor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NY 10167</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Sandra Rodriguez</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Telecopy No. (914) 304-9329</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Telephone No. (212) 574-7315</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Sandra.L.Rodriguez@rabobank.com and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RaboNYSBL@rabobank.com</w:t>
      </w:r>
    </w:p>
    <w:p>
      <w:pPr>
        <w:spacing w:after="0" w:line="200" w:lineRule="exact"/>
        <w:rPr>
          <w:sz w:val="20"/>
          <w:szCs w:val="20"/>
          <w:color w:val="auto"/>
        </w:rPr>
      </w:pP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Each such notice, request or other communication shall be effective (i) if given by telecopier, when such telecopy is transmitted to the telecopier number specified in this Section or in the</w:t>
      </w:r>
    </w:p>
    <w:p>
      <w:pPr>
        <w:sectPr>
          <w:pgSz w:w="11900" w:h="16838" w:orient="portrait"/>
          <w:cols w:equalWidth="0" w:num="1">
            <w:col w:w="11240"/>
          </w:cols>
          <w:pgMar w:left="320" w:top="1440" w:right="339" w:bottom="2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40" w:right="339" w:bottom="268" w:gutter="0" w:footer="0" w:header="0"/>
          <w:type w:val="continuous"/>
        </w:sectPr>
      </w:pPr>
    </w:p>
    <w:bookmarkStart w:id="253" w:name="page254"/>
    <w:bookmarkEnd w:id="253"/>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relevant Administrative Questionnaire and a confirmation of such telecopy has been received by the sender, (ii) if given by mail, five (5) days after such communication is deposited in the mail, certified or registered with return receipt requested, addressed as aforesaid or (iii) if given by any other means, when delivered at the addresses specified in this Section or in the relevant Administrative Questionnaire;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notice given pursuant to Section 1 hereof shall be effective only upon receipt.</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i. Counterparts; Integration; Effectiveness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Counterparts; Integration; Effectiveness</w:t>
      </w:r>
      <w:r>
        <w:rPr>
          <w:rFonts w:ascii="Times New Roman" w:cs="Times New Roman" w:eastAsia="Times New Roman" w:hAnsi="Times New Roman"/>
          <w:sz w:val="22"/>
          <w:szCs w:val="22"/>
          <w:color w:val="auto"/>
        </w:rPr>
        <w:t>. This Agreement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7.2,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 For purposes of determining compliance with the conditions specified in Section 7.2 hereof, each Lender and L/C Issuer that has signed this Agreement shall be deemed to have consented to, approved or accepted or to be satisfied with, each document or other matter required thereunder to be consented to or approved by or acceptable or satisfactory to a Lender and L/C Issuer unless the Administrative Agent shall have received notice from such Lender and L/C Issuer prior to the Closing Date specifying its objection thereto.</w:t>
      </w:r>
    </w:p>
    <w:p>
      <w:pPr>
        <w:spacing w:after="0" w:line="192" w:lineRule="exact"/>
        <w:rPr>
          <w:sz w:val="20"/>
          <w:szCs w:val="20"/>
          <w:color w:val="auto"/>
        </w:rPr>
      </w:pPr>
    </w:p>
    <w:p>
      <w:pPr>
        <w:jc w:val="both"/>
        <w:ind w:left="660" w:firstLine="644"/>
        <w:spacing w:after="0" w:line="249" w:lineRule="auto"/>
        <w:tabs>
          <w:tab w:leader="none" w:pos="195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Execution of Assignments</w:t>
      </w:r>
      <w:r>
        <w:rPr>
          <w:rFonts w:ascii="Times New Roman" w:cs="Times New Roman" w:eastAsia="Times New Roman" w:hAnsi="Times New Roman"/>
          <w:sz w:val="22"/>
          <w:szCs w:val="22"/>
          <w:color w:val="auto"/>
        </w:rPr>
        <w:t>. The words “execution,” “signed,” “signature,” and words of like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Illinois State Electronic Commerce Security Act, or any other similar state laws based on the Uniform Electronic Transactions Act.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j. Successors and Assigns</w:t>
      </w:r>
      <w:r>
        <w:rPr>
          <w:rFonts w:ascii="Times New Roman" w:cs="Times New Roman" w:eastAsia="Times New Roman" w:hAnsi="Times New Roman"/>
          <w:sz w:val="22"/>
          <w:szCs w:val="22"/>
          <w:color w:val="auto"/>
        </w:rPr>
        <w:t>. This Agreement shall be binding upon the Borrower and the Guarantors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successors and assigns, and shall inure to the benefit of the Administrative Agent, the L/C Issuer, and each of the Lenders, and the benefit of their respective successors and assigns, including any subsequent holder of any of the Obligations. The Borrower and the Guarantors may not assign any of their rights or obligations under any Loan Document without the written consent of all of the Lenders and, with respect to any Letter of Credit or the Application therefor, the L/C Issuer (and any other attempted assignment or transfer by any party hereto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54" w:name="page255"/>
    <w:bookmarkEnd w:id="254"/>
    <w:p>
      <w:pPr>
        <w:jc w:val="both"/>
        <w:ind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Section k. Participants</w:t>
      </w:r>
      <w:r>
        <w:rPr>
          <w:rFonts w:ascii="Times New Roman" w:cs="Times New Roman" w:eastAsia="Times New Roman" w:hAnsi="Times New Roman"/>
          <w:sz w:val="21"/>
          <w:szCs w:val="21"/>
          <w:color w:val="auto"/>
        </w:rPr>
        <w:t>. Each Lender shall have the right at its own cost to grant participations (to be evidenced by one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more agreements or certificates of participation) in the Loans made and Reimbursement Obligations and/or Commitments held by such Lender at any time and from time to time to one or more other Persons (other than a natural Person, the Borrower or any Guarantor or any Affiliate or Subsidiary of the Borrower or any Guarantor);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participation shall relieve any Lender of any of its obligations under this Agreement, and, provided, further that no such participant shall have any rights under this Agreement except as provided in this Section, and the Administrative Agent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1.9 and Section 10.2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agrees to be subject to Section 13.1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l. Assignments</w:t>
      </w:r>
      <w:r>
        <w:rPr>
          <w:rFonts w:ascii="Times New Roman" w:cs="Times New Roman" w:eastAsia="Times New Roman" w:hAnsi="Times New Roman"/>
          <w:sz w:val="22"/>
          <w:szCs w:val="22"/>
          <w:color w:val="auto"/>
        </w:rPr>
        <w:t>. Any Lender may at any time assign to one or more Eligible Assignees all or a portion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rights and obligations under this Agreement (including all or a portion of its Commitment and the Loans at the time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66" w:lineRule="exact"/>
        <w:rPr>
          <w:sz w:val="20"/>
          <w:szCs w:val="20"/>
          <w:color w:val="auto"/>
        </w:rPr>
      </w:pPr>
    </w:p>
    <w:p>
      <w:pPr>
        <w:jc w:val="both"/>
        <w:ind w:left="1300" w:firstLine="426"/>
        <w:spacing w:after="0" w:line="251"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22"/>
          <w:szCs w:val="22"/>
          <w:i w:val="1"/>
          <w:iCs w:val="1"/>
          <w:color w:val="auto"/>
        </w:rPr>
        <w:t>Minimum Amounts</w:t>
      </w:r>
      <w:r>
        <w:rPr>
          <w:rFonts w:ascii="Times New Roman" w:cs="Times New Roman" w:eastAsia="Times New Roman" w:hAnsi="Times New Roman"/>
          <w:sz w:val="22"/>
          <w:szCs w:val="22"/>
          <w:color w:val="auto"/>
        </w:rPr>
        <w:t>. (A) In the case of an assignment of the entire remaining amount of the assigning Lender’s Commitment and the Loans and participation interest in L/C Obligations at the time owing to it or in the case of an assignment to a Lender, an Affiliate of a Lender or an Approved Fund, no minimum amount need be assigned; and (B) in any case not described in subsection (a)(i)(A) of this Section, the aggregate amount of the Commitment (which for this purpose includes Loans and participation interest in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55" w:name="page256"/>
    <w:bookmarkEnd w:id="255"/>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Obligations outstanding thereunder) or, if the applicable Commitment is not then in effect, the principal outstanding balance of the Loans and participation interest in L/C Obligations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shall be in integral multiples of $500,00 and shall not be less than $2,500,000 unless each of the Administrative Agent and, so long as no Event of Default has occurred and is continuing, the Borrower otherwise consents (each such consent not to be unreasonably withheld or delayed);</w:t>
      </w:r>
    </w:p>
    <w:p>
      <w:pPr>
        <w:spacing w:after="0" w:line="178" w:lineRule="exact"/>
        <w:rPr>
          <w:sz w:val="20"/>
          <w:szCs w:val="20"/>
          <w:color w:val="auto"/>
        </w:rPr>
      </w:pPr>
    </w:p>
    <w:p>
      <w:pPr>
        <w:jc w:val="both"/>
        <w:ind w:left="1300" w:firstLine="366"/>
        <w:spacing w:after="0" w:line="259" w:lineRule="auto"/>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22"/>
          <w:szCs w:val="22"/>
          <w:i w:val="1"/>
          <w:iCs w:val="1"/>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Loan or the Commitment assigned.</w:t>
      </w:r>
    </w:p>
    <w:p>
      <w:pPr>
        <w:spacing w:after="0" w:line="1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xiii.</w:t>
      </w:r>
      <w:r>
        <w:rPr>
          <w:rFonts w:ascii="Times New Roman" w:cs="Times New Roman" w:eastAsia="Times New Roman" w:hAnsi="Times New Roman"/>
          <w:sz w:val="22"/>
          <w:szCs w:val="22"/>
          <w:i w:val="1"/>
          <w:iCs w:val="1"/>
          <w:color w:val="auto"/>
        </w:rPr>
        <w:t>Required Consents</w:t>
      </w:r>
      <w:r>
        <w:rPr>
          <w:rFonts w:ascii="Times New Roman" w:cs="Times New Roman" w:eastAsia="Times New Roman" w:hAnsi="Times New Roman"/>
          <w:sz w:val="22"/>
          <w:szCs w:val="22"/>
          <w:color w:val="auto"/>
        </w:rPr>
        <w:t>. No consent shall be required for any assignment except to the extent required by</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13.12(a)(i)(B) and, in addition:</w:t>
      </w:r>
    </w:p>
    <w:p>
      <w:pPr>
        <w:spacing w:after="0" w:line="196" w:lineRule="exact"/>
        <w:rPr>
          <w:sz w:val="20"/>
          <w:szCs w:val="20"/>
          <w:color w:val="auto"/>
        </w:rPr>
      </w:pPr>
    </w:p>
    <w:p>
      <w:pPr>
        <w:jc w:val="both"/>
        <w:ind w:left="1960" w:firstLine="640"/>
        <w:spacing w:after="0" w:line="266" w:lineRule="auto"/>
        <w:tabs>
          <w:tab w:leader="none" w:pos="3112"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Borrower (such consent not to be unreasonably withheld or delayed) shall be required unless (x) an Event of Default has occurred and is continuing at the time of such assignment or</w:t>
      </w:r>
    </w:p>
    <w:p>
      <w:pPr>
        <w:spacing w:after="0" w:line="1" w:lineRule="exact"/>
        <w:rPr>
          <w:rFonts w:ascii="Times New Roman" w:cs="Times New Roman" w:eastAsia="Times New Roman" w:hAnsi="Times New Roman"/>
          <w:sz w:val="21"/>
          <w:szCs w:val="21"/>
          <w:color w:val="auto"/>
        </w:rPr>
      </w:pPr>
    </w:p>
    <w:p>
      <w:pPr>
        <w:jc w:val="both"/>
        <w:ind w:left="1960" w:hanging="8"/>
        <w:spacing w:after="0" w:line="245" w:lineRule="auto"/>
        <w:tabs>
          <w:tab w:leader="none" w:pos="230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assignment is to a Lender, an Affiliate of a Lender or an Approved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5" w:lineRule="exact"/>
        <w:rPr>
          <w:rFonts w:ascii="Times New Roman" w:cs="Times New Roman" w:eastAsia="Times New Roman" w:hAnsi="Times New Roman"/>
          <w:sz w:val="22"/>
          <w:szCs w:val="22"/>
          <w:color w:val="auto"/>
        </w:rPr>
      </w:pPr>
    </w:p>
    <w:p>
      <w:pPr>
        <w:jc w:val="both"/>
        <w:ind w:left="1960" w:firstLine="640"/>
        <w:spacing w:after="0" w:line="252" w:lineRule="auto"/>
        <w:tabs>
          <w:tab w:leader="none" w:pos="317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if such assignment is to a Person that is not a Lender with a Commitment in respect of such facility, an Affiliate of such Lender or an Approved Fund with respect to such Lender; and</w:t>
      </w:r>
    </w:p>
    <w:p>
      <w:pPr>
        <w:spacing w:after="0" w:line="179"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L/C Issuer shall be required for any assignment.</w:t>
      </w:r>
    </w:p>
    <w:p>
      <w:pPr>
        <w:spacing w:after="0" w:line="216" w:lineRule="exact"/>
        <w:rPr>
          <w:sz w:val="20"/>
          <w:szCs w:val="20"/>
          <w:color w:val="auto"/>
        </w:rPr>
      </w:pPr>
    </w:p>
    <w:p>
      <w:pPr>
        <w:jc w:val="both"/>
        <w:ind w:left="1300" w:firstLine="318"/>
        <w:spacing w:after="0" w:line="259" w:lineRule="auto"/>
        <w:rPr>
          <w:sz w:val="20"/>
          <w:szCs w:val="20"/>
          <w:color w:val="auto"/>
        </w:rPr>
      </w:pPr>
      <w:r>
        <w:rPr>
          <w:rFonts w:ascii="Times New Roman" w:cs="Times New Roman" w:eastAsia="Times New Roman" w:hAnsi="Times New Roman"/>
          <w:sz w:val="22"/>
          <w:szCs w:val="22"/>
          <w:color w:val="auto"/>
        </w:rPr>
        <w:t>xiv.</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The parties to each assignment shall execute and deliver to the Administrative Agent an Assignment and Acceptance, together with a processing and recordation fee of $3,500, and the assignee, if it is not a Lender, shall deliver to the Administrative Agent an Administrative Questionnaire.</w:t>
      </w:r>
    </w:p>
    <w:p>
      <w:pPr>
        <w:spacing w:after="0" w:line="166" w:lineRule="exact"/>
        <w:rPr>
          <w:sz w:val="20"/>
          <w:szCs w:val="20"/>
          <w:color w:val="auto"/>
        </w:rPr>
      </w:pPr>
    </w:p>
    <w:p>
      <w:pPr>
        <w:jc w:val="both"/>
        <w:ind w:left="1300" w:firstLine="378"/>
        <w:spacing w:after="0" w:line="275" w:lineRule="auto"/>
        <w:rPr>
          <w:sz w:val="20"/>
          <w:szCs w:val="20"/>
          <w:color w:val="auto"/>
        </w:rPr>
      </w:pPr>
      <w:r>
        <w:rPr>
          <w:rFonts w:ascii="Times New Roman" w:cs="Times New Roman" w:eastAsia="Times New Roman" w:hAnsi="Times New Roman"/>
          <w:sz w:val="22"/>
          <w:szCs w:val="22"/>
          <w:color w:val="auto"/>
        </w:rPr>
        <w:t>xv.</w:t>
      </w:r>
      <w:r>
        <w:rPr>
          <w:rFonts w:ascii="Times New Roman" w:cs="Times New Roman" w:eastAsia="Times New Roman" w:hAnsi="Times New Roman"/>
          <w:sz w:val="22"/>
          <w:szCs w:val="22"/>
          <w:i w:val="1"/>
          <w:iCs w:val="1"/>
          <w:color w:val="auto"/>
        </w:rPr>
        <w:t>No Assignment to Holdings, Borrower or Borrower Subsidiary</w:t>
      </w:r>
      <w:r>
        <w:rPr>
          <w:rFonts w:ascii="Times New Roman" w:cs="Times New Roman" w:eastAsia="Times New Roman" w:hAnsi="Times New Roman"/>
          <w:sz w:val="22"/>
          <w:szCs w:val="22"/>
          <w:color w:val="auto"/>
        </w:rPr>
        <w:t>. No such assignment shall be made to Holdings, the Borrower or any of their Affiliates or Borrower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56" w:name="page257"/>
    <w:bookmarkEnd w:id="256"/>
    <w:p>
      <w:pPr>
        <w:jc w:val="center"/>
        <w:ind w:right="-139"/>
        <w:spacing w:after="0"/>
        <w:rPr>
          <w:sz w:val="20"/>
          <w:szCs w:val="20"/>
          <w:color w:val="auto"/>
        </w:rPr>
      </w:pPr>
      <w:r>
        <w:rPr>
          <w:rFonts w:ascii="Times New Roman" w:cs="Times New Roman" w:eastAsia="Times New Roman" w:hAnsi="Times New Roman"/>
          <w:sz w:val="22"/>
          <w:szCs w:val="22"/>
          <w:color w:val="auto"/>
        </w:rPr>
        <w:t>xvi.</w:t>
      </w:r>
      <w:r>
        <w:rPr>
          <w:rFonts w:ascii="Times New Roman" w:cs="Times New Roman" w:eastAsia="Times New Roman" w:hAnsi="Times New Roman"/>
          <w:sz w:val="22"/>
          <w:szCs w:val="22"/>
          <w:i w:val="1"/>
          <w:iCs w:val="1"/>
          <w:color w:val="auto"/>
        </w:rPr>
        <w:t>No Assignment to Natural Persons</w:t>
      </w:r>
      <w:r>
        <w:rPr>
          <w:rFonts w:ascii="Times New Roman" w:cs="Times New Roman" w:eastAsia="Times New Roman" w:hAnsi="Times New Roman"/>
          <w:sz w:val="22"/>
          <w:szCs w:val="22"/>
          <w:color w:val="auto"/>
        </w:rPr>
        <w:t>. No such assignment shall be made to a natural person.</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Subject to acceptance and recording thereof by the Administrative Agent pursuant to Section 13.12(b)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13.6 and 13.15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13.11 hereof.</w:t>
      </w:r>
    </w:p>
    <w:p>
      <w:pPr>
        <w:spacing w:after="0" w:line="184" w:lineRule="exact"/>
        <w:rPr>
          <w:sz w:val="20"/>
          <w:szCs w:val="20"/>
          <w:color w:val="auto"/>
        </w:rPr>
      </w:pPr>
    </w:p>
    <w:p>
      <w:pPr>
        <w:jc w:val="both"/>
        <w:ind w:left="660" w:firstLine="644"/>
        <w:spacing w:after="0" w:line="247" w:lineRule="auto"/>
        <w:tabs>
          <w:tab w:leader="none" w:pos="195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Administrative Agent, acting solely for this purpose as a non-fiduciary agent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shall maintain at one of its offices in New York, New York, a copy of each Assignment and Acceptance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9"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5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grant a security interest in all or any portion of its rights under this Agreement to secure obligations of such Lender, including any such pledge or grant to a Federal Reserve Bank or other central bank having jurisdiction over such Lender, and this Section shall not apply to any such pledge or grant of a security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grant of a security interest shall release a Lender from any of its obligations hereunder or substitute any such pledgee or secured party for such Lender as a party hereto;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the right of any such pledgee or grantee (other than any Federal Reserve Bank or any such central bank)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further transfer all or any portion of the rights pledged or granted to it, whether by means of foreclosure or otherwise, shall be at all times subject to the terms of this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Section m. Amendments. </w:t>
      </w:r>
      <w:r>
        <w:rPr>
          <w:rFonts w:ascii="Times New Roman" w:cs="Times New Roman" w:eastAsia="Times New Roman" w:hAnsi="Times New Roman"/>
          <w:sz w:val="22"/>
          <w:szCs w:val="22"/>
          <w:color w:val="auto"/>
        </w:rPr>
        <w:t>Any provision of this Agreement or the other Loan Documents may be amended or waived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but only if, such amendment or waiver is in writing and is signed by (a) the Borrower, (b) the Required Lenders, and (c) if the rights or duties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 xml:space="preserve">Administrative Agent, the L/C Issuer, are affected thereby, the Administrative Agent, the L/C Issuer;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24" w:lineRule="exact"/>
        <w:rPr>
          <w:sz w:val="20"/>
          <w:szCs w:val="20"/>
          <w:color w:val="auto"/>
        </w:rPr>
      </w:pPr>
    </w:p>
    <w:p>
      <w:pPr>
        <w:jc w:val="both"/>
        <w:ind w:left="1300" w:firstLine="258"/>
        <w:spacing w:after="0" w:line="252" w:lineRule="auto"/>
        <w:rPr>
          <w:sz w:val="20"/>
          <w:szCs w:val="20"/>
          <w:color w:val="auto"/>
        </w:rPr>
      </w:pPr>
      <w:r>
        <w:rPr>
          <w:rFonts w:ascii="Times New Roman" w:cs="Times New Roman" w:eastAsia="Times New Roman" w:hAnsi="Times New Roman"/>
          <w:sz w:val="22"/>
          <w:szCs w:val="22"/>
          <w:color w:val="auto"/>
        </w:rPr>
        <w:t>xvii.no amendment or waiver pursuant to this Section 13.13 shall (A) increase any Commitment of any Lender without the consent of such Lender or (B) reduce the amount of or postpone the date for any scheduled payment of any principal of or interest on any Loan of any fee payable hereunder without the consent of the Lender to which such payment is owing or which has committed to make such Loan hereunder;</w:t>
      </w:r>
    </w:p>
    <w:p>
      <w:pPr>
        <w:spacing w:after="0" w:line="179" w:lineRule="exact"/>
        <w:rPr>
          <w:sz w:val="20"/>
          <w:szCs w:val="20"/>
          <w:color w:val="auto"/>
        </w:rPr>
      </w:pPr>
    </w:p>
    <w:p>
      <w:pPr>
        <w:jc w:val="both"/>
        <w:ind w:left="1300" w:firstLine="198"/>
        <w:spacing w:after="0" w:line="248" w:lineRule="auto"/>
        <w:rPr>
          <w:sz w:val="20"/>
          <w:szCs w:val="20"/>
          <w:color w:val="auto"/>
        </w:rPr>
      </w:pPr>
      <w:r>
        <w:rPr>
          <w:rFonts w:ascii="Times New Roman" w:cs="Times New Roman" w:eastAsia="Times New Roman" w:hAnsi="Times New Roman"/>
          <w:sz w:val="22"/>
          <w:szCs w:val="22"/>
          <w:color w:val="auto"/>
        </w:rPr>
        <w:t>xviii.no amendment or waiver pursuant to this Section 13.13 shall, unless signed by each Lender, change the definition of Required Lenders, change the provisions of this Section 13.13, change Section 13.7 in a manner that would affect the ratable sharing of setoffs required thereby, change the application of payments contained in Section 13.2, release any material guarantor or all or substantially all of the Collateral (except as otherwise provided for in the Loan Documents), or affect the number of Lenders required to take any action hereunder or under any other Loan Document; and</w:t>
      </w:r>
    </w:p>
    <w:p>
      <w:pPr>
        <w:spacing w:after="0" w:line="187" w:lineRule="exact"/>
        <w:rPr>
          <w:sz w:val="20"/>
          <w:szCs w:val="20"/>
          <w:color w:val="auto"/>
        </w:rPr>
      </w:pPr>
    </w:p>
    <w:p>
      <w:pPr>
        <w:jc w:val="both"/>
        <w:ind w:left="1300" w:firstLine="318"/>
        <w:spacing w:after="0" w:line="257" w:lineRule="auto"/>
        <w:rPr>
          <w:sz w:val="20"/>
          <w:szCs w:val="20"/>
          <w:color w:val="auto"/>
        </w:rPr>
      </w:pPr>
      <w:r>
        <w:rPr>
          <w:rFonts w:ascii="Times New Roman" w:cs="Times New Roman" w:eastAsia="Times New Roman" w:hAnsi="Times New Roman"/>
          <w:sz w:val="22"/>
          <w:szCs w:val="22"/>
          <w:color w:val="auto"/>
        </w:rPr>
        <w:t>xix.no amendment or waiver pursuant to this Section 13.13 shall, unless signed by each Lender affected thereby, extend the Termination Date, or extend the stated expiration date of any Letter of Credit beyond the Termination Date;</w:t>
      </w:r>
    </w:p>
    <w:p>
      <w:pPr>
        <w:spacing w:after="0" w:line="1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xx.no amendment to Section 12 hereof shall be made without the consent of the Guarantor(s) affected thereby;</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or</w:t>
      </w:r>
    </w:p>
    <w:p>
      <w:pPr>
        <w:spacing w:after="0" w:line="196" w:lineRule="exact"/>
        <w:rPr>
          <w:sz w:val="20"/>
          <w:szCs w:val="20"/>
          <w:color w:val="auto"/>
        </w:rPr>
      </w:pPr>
    </w:p>
    <w:p>
      <w:pPr>
        <w:jc w:val="both"/>
        <w:ind w:left="1300" w:firstLine="318"/>
        <w:spacing w:after="0" w:line="252" w:lineRule="auto"/>
        <w:rPr>
          <w:sz w:val="20"/>
          <w:szCs w:val="20"/>
          <w:color w:val="auto"/>
        </w:rPr>
      </w:pPr>
      <w:r>
        <w:rPr>
          <w:rFonts w:ascii="Times New Roman" w:cs="Times New Roman" w:eastAsia="Times New Roman" w:hAnsi="Times New Roman"/>
          <w:sz w:val="22"/>
          <w:szCs w:val="22"/>
          <w:color w:val="auto"/>
        </w:rPr>
        <w:t>xxi.no amendment or waiver pursuant to this Section 13.13 shall increase the advance rates set forth in the definition of “Borrowing Base”, amend any definition used in the definition of “Borrowing Base” if the effect of such amendment would be to increase the amount of available credit or add a new category of eligible assets to the Borrowing Base without the written consent of all the Lenders.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and the principal amount of any of its Loans may not be forgiven, in each case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n. Headings. </w:t>
      </w:r>
      <w:r>
        <w:rPr>
          <w:rFonts w:ascii="Times New Roman" w:cs="Times New Roman" w:eastAsia="Times New Roman" w:hAnsi="Times New Roman"/>
          <w:sz w:val="22"/>
          <w:szCs w:val="22"/>
          <w:color w:val="auto"/>
        </w:rPr>
        <w:t>Section headings used in this Agreement are for reference only and shall not affect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58" w:name="page259"/>
    <w:bookmarkEnd w:id="258"/>
    <w:p>
      <w:pPr>
        <w:jc w:val="both"/>
        <w:ind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Section o. Costs and Expenses; Indemnification</w:t>
      </w:r>
      <w:r>
        <w:rPr>
          <w:rFonts w:ascii="Times New Roman" w:cs="Times New Roman" w:eastAsia="Times New Roman" w:hAnsi="Times New Roman"/>
          <w:sz w:val="21"/>
          <w:szCs w:val="21"/>
          <w:color w:val="auto"/>
        </w:rPr>
        <w:t>. The Borrower agrees to pay all out-of-pocket costs and expenses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in connection with the preparation, negotiation, syndication, and administration of the Loan Documents, including, without limitation, the reasonable fees and disbursements of counsel to the Administrative Agent, in connection with the preparation and execution of the Loan Documents, and any amendment, waiver or consent related thereto, whether or not the transactions contemplated herein are consummated, together with any fees and charges suffered or incurred by the Administrative Agent in connection with collateral filing fees and lien searches. The Borrower agrees to pay to the Administrative Agent, the L/C Issuer and each Lender, and any other holder of any Obligations outstanding hereunder, all out-of-pocket costs and expenses reasonably incurred or paid by the Administrative Agent, the L/C Issuer, such Lender, or any such holder, including reasonable attorneys’ fees and disbursements and court costs, in connection with any Default or Event of Default hereunder or in connection with the enforcement of any of the Loan Documents or the protection of its rights and interests thereunder (including all such costs and expenses incurred in connection with any proceeding under the United States Bankruptcy Code involving the Borrower or any Guarantor as a debtor thereunder). The Borrower further agrees to indemnify the Administrative Agent, the (and any sub-agent thereof), each Lender and each L/C Issuer, and each Related Party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or Letter of Credit or any actual or alleged presence or release of Hazardous Materials on or from any property owned or operated by Holdings, the Borrower or any of their respective Subsidiaries, or any Environmental Liability related in any way to Holdings, the Borrower or any of their respective Subsidiaries, other than those which arise from the gross negligence or willful misconduct of the party claiming indemnification as determined by a court of competent jurisdiction by final and nonappealable judgment. The Borrower, upon demand by the Administrative Agent, the L/C Issuer or a Lender at any time, shall reimburse the Administrative Agent, the L/C Issuer or such Lender and their Related Parties for any legal or other expenses (including, without limitation, all reasonable fees and disbursements of counsel for any such Indemnitee) incurred in connection with investigating or defending against any of the foregoing (including any settlement costs relating to the foregoing) except if the same is directly due to the gross negligence or willful misconduct of the party to be indemnified as determined by a court of competent jurisdiction by final and nonappealable judgment. To the extent permitted by applicable law, neither the Borrower nor any Guarantor shall assert, and each such Person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Borrower under this Section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-3293745</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59" w:name="page260"/>
    <w:bookmarkEnd w:id="259"/>
    <w:p>
      <w:pPr>
        <w:jc w:val="both"/>
        <w:ind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Section p. Set-off</w:t>
      </w:r>
      <w:r>
        <w:rPr>
          <w:rFonts w:ascii="Times New Roman" w:cs="Times New Roman" w:eastAsia="Times New Roman" w:hAnsi="Times New Roman"/>
          <w:sz w:val="21"/>
          <w:szCs w:val="21"/>
          <w:color w:val="auto"/>
        </w:rPr>
        <w:t>. In addition to any rights now or hereafter granted under the Loan Documents or applicable law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 by way of limitation of any such rights, upon the occurrence of any Event of Default, each Lender, the L/C Issuer, each subsequent holder of any Obligation, and each of their respective affiliates, is hereby authorized by the Borrower and each Guarantor at any time or from time to time, without notice to the Borrower, any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the L/C Issuer, subsequent holder, or affiliate, to or for the credit or the account of the Borrower or such Guarantor, whether or not matured, against and on account of the Obligations of the Borrower or such Guarantor to that Lender, L/C Issuer, or subsequent holder under the Loan Documents, including, but not limited to, all claims of any nature or description arising out of or connected with the Loan Documents, irrespective of whether or not (a) that Lender, L/C Issuer, or subsequent holder shall have made any demand hereunder or (b) the principal of or the interest on the Loans and other amounts due hereunder shall have become due and payable pursuant to Section 9 and although said obligations and liabilities, or any of them, may be contingent or unmatured.</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q. Entire Agreement</w:t>
      </w:r>
      <w:r>
        <w:rPr>
          <w:rFonts w:ascii="Times New Roman" w:cs="Times New Roman" w:eastAsia="Times New Roman" w:hAnsi="Times New Roman"/>
          <w:sz w:val="22"/>
          <w:szCs w:val="22"/>
          <w:color w:val="auto"/>
        </w:rPr>
        <w:t>. The Loan Documents constitute the entire understanding of the parties thereto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subject matter thereof and any prior agreements, whether written or oral, with respect thereto are superseded hereby.</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r. Governing Law</w:t>
      </w:r>
      <w:r>
        <w:rPr>
          <w:rFonts w:ascii="Times New Roman" w:cs="Times New Roman" w:eastAsia="Times New Roman" w:hAnsi="Times New Roman"/>
          <w:sz w:val="22"/>
          <w:szCs w:val="22"/>
          <w:color w:val="auto"/>
        </w:rPr>
        <w:t>. This Agreement and the other Loan Documents (other than those containing a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 choice of law provision) shall be construed in accordance with, and this Agreement, such other Loan Documents, and all matters arising out of or relating in any way whatsoever to this Agreement and such other Loan Documents (whether in contract, tort, or otherwise) shall be governed by, the law of the State of New York, other than those conflict of law provisions that would defer to the substantive laws of another jurisdiction. This governing law election has been made by the parties in reliance (at least in part) on Section 5-1401 of the General Obligation Law of the State of New York, as amended (as and to the extent applicable), and other applicable law.</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s. Severability of Provisions. </w:t>
      </w:r>
      <w:r>
        <w:rPr>
          <w:rFonts w:ascii="Times New Roman" w:cs="Times New Roman" w:eastAsia="Times New Roman" w:hAnsi="Times New Roman"/>
          <w:sz w:val="22"/>
          <w:szCs w:val="22"/>
          <w:color w:val="auto"/>
        </w:rPr>
        <w:t>Any provision of any Loan Document which is unenforceable in any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60" w:name="page261"/>
    <w:bookmarkEnd w:id="260"/>
    <w:p>
      <w:pPr>
        <w:jc w:val="both"/>
        <w:ind w:firstLine="648"/>
        <w:spacing w:after="0" w:line="245" w:lineRule="auto"/>
        <w:rPr>
          <w:sz w:val="20"/>
          <w:szCs w:val="20"/>
          <w:color w:val="auto"/>
        </w:rPr>
      </w:pPr>
      <w:r>
        <w:rPr>
          <w:rFonts w:ascii="Times New Roman" w:cs="Times New Roman" w:eastAsia="Times New Roman" w:hAnsi="Times New Roman"/>
          <w:sz w:val="22"/>
          <w:szCs w:val="22"/>
          <w:i w:val="1"/>
          <w:iCs w:val="1"/>
          <w:color w:val="auto"/>
        </w:rPr>
        <w:t>Section t. Excess Interest</w:t>
      </w:r>
      <w:r>
        <w:rPr>
          <w:rFonts w:ascii="Times New Roman" w:cs="Times New Roman" w:eastAsia="Times New Roman" w:hAnsi="Times New Roman"/>
          <w:sz w:val="22"/>
          <w:szCs w:val="22"/>
          <w:color w:val="auto"/>
        </w:rPr>
        <w:t>. Notwithstanding any provision to the contrary contained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22"/>
          <w:szCs w:val="22"/>
          <w:i w:val="1"/>
          <w:iCs w:val="1"/>
          <w:color w:val="auto"/>
        </w:rPr>
        <w:t>“Excess Interest”</w:t>
      </w:r>
      <w:r>
        <w:rPr>
          <w:rFonts w:ascii="Times New Roman" w:cs="Times New Roman" w:eastAsia="Times New Roman" w:hAnsi="Times New Roman"/>
          <w:sz w:val="22"/>
          <w:szCs w:val="22"/>
          <w:color w:val="auto"/>
        </w:rPr>
        <w:t xml:space="preserve">). If any Excess Interest is provided for, or is adjudicated to be provided for, herein or in any other Loan Document, then in such event (a) the provisions of this Section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u. Construction</w:t>
      </w:r>
      <w:r>
        <w:rPr>
          <w:rFonts w:ascii="Times New Roman" w:cs="Times New Roman" w:eastAsia="Times New Roman" w:hAnsi="Times New Roman"/>
          <w:sz w:val="22"/>
          <w:szCs w:val="22"/>
          <w:color w:val="auto"/>
        </w:rPr>
        <w:t>. The parties acknowledge and agree that the Loan Documents shall not be construed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favorably in favor of any party hereto based upon which party drafted the same, it being acknowledged that all parties hereto contributed substantially to the negotiation of the Loan Documents. The provisions of this Agreement relating to Borrower Subsidiaries shall only apply during such times as the Borrower has one or more Borrower Subsidiaries. NOTHING CONTAINED HEREIN SHALL BE DEEMED OR CONSTRUED TO PERMIT ANY ACT OR OMISSION WHICH IS PROHIBITED BY THE TERMS OF ANY COLLATERAL DOCUMENT, THE COVENANTS AND AGREEMENTS CONTAINED HEREIN BEING IN ADDITION TO AND NOT IN SUBSTITUTION FOR THE COVENANTS AND AGREEMENTS CONTAINED IN THE COLLATERAL DOCUMENTS.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v. Lender’s and L/C Issuer’s Obligations Several</w:t>
      </w:r>
      <w:r>
        <w:rPr>
          <w:rFonts w:ascii="Times New Roman" w:cs="Times New Roman" w:eastAsia="Times New Roman" w:hAnsi="Times New Roman"/>
          <w:sz w:val="22"/>
          <w:szCs w:val="22"/>
          <w:color w:val="auto"/>
        </w:rPr>
        <w:t>. The obligations of the Lenders and L/C Issuer hereunder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several and not joint. Nothing contained in this Agreement and no action taken by the Lenders pursuant hereto shall be deemed to constitute the Lenders and L/C Issuer a partnership, association, joint venture or other entity.</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w. Submission to Jurisdiction; Waiver of Jury Trial</w:t>
      </w:r>
      <w:r>
        <w:rPr>
          <w:rFonts w:ascii="Times New Roman" w:cs="Times New Roman" w:eastAsia="Times New Roman" w:hAnsi="Times New Roman"/>
          <w:sz w:val="22"/>
          <w:szCs w:val="22"/>
          <w:color w:val="auto"/>
        </w:rPr>
        <w:t>. The Borrower and the Guarantors hereby submit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nonexclusive jurisdiction of the Supreme Court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18" w:right="339" w:bottom="1440" w:gutter="0" w:footer="0" w:header="0"/>
        </w:sectPr>
      </w:pPr>
    </w:p>
    <w:bookmarkStart w:id="261" w:name="page262"/>
    <w:bookmarkEnd w:id="261"/>
    <w:p>
      <w:pPr>
        <w:jc w:val="both"/>
        <w:spacing w:after="0" w:line="247" w:lineRule="auto"/>
        <w:rPr>
          <w:sz w:val="20"/>
          <w:szCs w:val="20"/>
          <w:color w:val="auto"/>
        </w:rPr>
      </w:pPr>
      <w:r>
        <w:rPr>
          <w:rFonts w:ascii="Times New Roman" w:cs="Times New Roman" w:eastAsia="Times New Roman" w:hAnsi="Times New Roman"/>
          <w:sz w:val="22"/>
          <w:szCs w:val="22"/>
          <w:color w:val="auto"/>
        </w:rPr>
        <w:t>New York sitting in New York County and of the United States District Court of the Southern District of New York for purposes of all legal proceedings arising out of or relating to this Agreement, the other Loan Documents or the transactions contemplated hereby or thereby. The Borrower and the Guarantors irrevocably waive, to the fullest extent permitted by law, any objection which they may now or hereafter have to the laying of the venue of any such proceeding brought in such a court and any claim that any such proceeding brought in such a court has been brought in an inconvenient forum. THE BORROWER, THE GUARANTORS, THE ADMINISTRATIVE AGENT AND THE LENDERS HEREBY IRREVOCABLY WAIVE ANY AND ALL RIGHT TO TRIAL BY JURY IN ANY LEGAL PROCEEDING ARISING OUT OF OR RELATING TO ANY LOAN DOCUMENT OR THE TRANSACTIONS CONTEMPLATED THEREBY.</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x.</w:t>
      </w:r>
      <w:r>
        <w:rPr>
          <w:sz w:val="20"/>
          <w:szCs w:val="20"/>
          <w:color w:val="auto"/>
        </w:rPr>
        <w:tab/>
      </w:r>
      <w:r>
        <w:rPr>
          <w:rFonts w:ascii="Times New Roman" w:cs="Times New Roman" w:eastAsia="Times New Roman" w:hAnsi="Times New Roman"/>
          <w:sz w:val="21"/>
          <w:szCs w:val="21"/>
          <w:i w:val="1"/>
          <w:iCs w:val="1"/>
          <w:color w:val="auto"/>
        </w:rPr>
        <w:t>USA Patriot Act</w:t>
      </w:r>
      <w:r>
        <w:rPr>
          <w:rFonts w:ascii="Times New Roman" w:cs="Times New Roman" w:eastAsia="Times New Roman" w:hAnsi="Times New Roman"/>
          <w:sz w:val="21"/>
          <w:szCs w:val="21"/>
          <w:color w:val="auto"/>
        </w:rPr>
        <w:t>. Each Lender and L/C Issuer that is subject to the requirements of the USA Patriot Act (Title</w:t>
      </w:r>
    </w:p>
    <w:p>
      <w:pPr>
        <w:spacing w:after="0" w:line="32" w:lineRule="exact"/>
        <w:rPr>
          <w:sz w:val="20"/>
          <w:szCs w:val="20"/>
          <w:color w:val="auto"/>
        </w:rPr>
      </w:pPr>
    </w:p>
    <w:p>
      <w:pPr>
        <w:jc w:val="both"/>
        <w:ind w:firstLine="8"/>
        <w:spacing w:after="0" w:line="243" w:lineRule="auto"/>
        <w:tabs>
          <w:tab w:leader="none" w:pos="3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Pub. L. 107-56 (signed into law October 26, 2001))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hereby notifies the Borrower that pursuant to the requirements of the Act, it is required to obtain, verify, and record information that identifies the Borrower and other information that will allow Administrative Agent, Issuing Lender, and such Lender to identify the Borrower in accordance with the USA Patriot Act. The Borrower hereby agrees to provide such information promptly upon the request of Administrative Agent or any Lender. Each Lender subject to the Act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the Act or the regulations thereunder, including the regulations contained in 31 CFR 103.121 (as hereafter amended or replaced, the “</w:t>
      </w:r>
      <w:r>
        <w:rPr>
          <w:rFonts w:ascii="Times New Roman" w:cs="Times New Roman" w:eastAsia="Times New Roman" w:hAnsi="Times New Roman"/>
          <w:sz w:val="22"/>
          <w:szCs w:val="22"/>
          <w:b w:val="1"/>
          <w:bCs w:val="1"/>
          <w:i w:val="1"/>
          <w:iCs w:val="1"/>
          <w:color w:val="auto"/>
        </w:rPr>
        <w:t>CIP Regulations</w:t>
      </w:r>
      <w:r>
        <w:rPr>
          <w:rFonts w:ascii="Times New Roman" w:cs="Times New Roman" w:eastAsia="Times New Roman" w:hAnsi="Times New Roman"/>
          <w:sz w:val="22"/>
          <w:szCs w:val="22"/>
          <w:color w:val="auto"/>
        </w:rPr>
        <w:t>”), or any other Anti-Terrorism Law, including any programs involving any of the following items relating to or in connection with the Borrower, its Affiliates or its agents, this Agreement, the Loan Documents or the transactions hereunder or contemplated hereby: (a) any identity verification procedures, (b) any record-keeping, (c) comparisons with government lists, (d) customer notices, or (e) other procedures required under the CIP Regulations or such other law.</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y. Confidentiality</w:t>
      </w:r>
      <w:r>
        <w:rPr>
          <w:rFonts w:ascii="Times New Roman" w:cs="Times New Roman" w:eastAsia="Times New Roman" w:hAnsi="Times New Roman"/>
          <w:sz w:val="22"/>
          <w:szCs w:val="22"/>
          <w:color w:val="auto"/>
        </w:rPr>
        <w:t>. Each of the Administrative Agent, the Lenders, and the L/C Issuer agree to maintain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62" w:name="page263"/>
    <w:bookmarkEnd w:id="262"/>
    <w:p>
      <w:pPr>
        <w:jc w:val="both"/>
        <w:spacing w:after="0" w:line="245" w:lineRule="auto"/>
        <w:rPr>
          <w:sz w:val="20"/>
          <w:szCs w:val="20"/>
          <w:color w:val="auto"/>
        </w:rPr>
      </w:pPr>
      <w:r>
        <w:rPr>
          <w:rFonts w:ascii="Times New Roman" w:cs="Times New Roman" w:eastAsia="Times New Roman" w:hAnsi="Times New Roman"/>
          <w:sz w:val="22"/>
          <w:szCs w:val="22"/>
          <w:color w:val="auto"/>
        </w:rPr>
        <w:t>or (ii) any actual or prospective party (or its Related Parties) to any swap, derivative or other transaction under which payments are to be made by reference to the Borrower and its obligations, this Agreement or payments hereunder; (g) on a confidential basis to any rating agency in connection with rating any Loan Party or the Borrower Subsidiaries or the Loans and Commitments hereunder; (h) with the consent of the Borrower;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Borrower. For purposes of this Section,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xml:space="preserve">” means all information received from a Loan Party or any of the Borrower Subsidiaries relating to a Loan Party or any of the Borrower Subsidiaries or any of their respective businesses, other than any such information that is available to the Administrative Agent, any Lender or any L/C Issuer on a nonconfidential basis prior to disclosure by a Loan Party or any of the Borrower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information received from a Loan Party or any of the Borrower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6213475</wp:posOffset>
            </wp:positionH>
            <wp:positionV relativeFrom="paragraph">
              <wp:posOffset>-1172210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-683260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z. Amendment and Restatement</w:t>
      </w:r>
      <w:r>
        <w:rPr>
          <w:rFonts w:ascii="Times New Roman" w:cs="Times New Roman" w:eastAsia="Times New Roman" w:hAnsi="Times New Roman"/>
          <w:sz w:val="22"/>
          <w:szCs w:val="22"/>
          <w:color w:val="auto"/>
        </w:rPr>
        <w:t>. This Agreement amends and restates the Existing Credit Agreement and is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intended to be or operate as a novation or an accord and satisfaction of the Existing Credit Agreement or the indebtedness, obligations and liabilities of the Borrower and the Guarantors evidenced or provided for thereunder. Without limiting the generality of the foregoing, the Borrower and each Guarantor agrees that notwithstanding the execution and delivery of this Agreement and the Collateral, the Liens previously granted to the Administrative Agent pursuant to the Collateral Documents shall be and remain in full force and effect and that any rights and remedies of the Administrative Agent thereunder and obligations of the Credit Parties thereunder shall be and remain in full force and effect, shall not be affected, impaired or discharged thereby and shall secure all of the Credit Parties’ indebtedness, obligations and liabilities to the Administrative Agent and the Lenders under the Existing Credit Agreement as amended and restated hereby. Nothing herein contained shall in any manner affect or impair the priority of the Liens created and provided for by the Collateral Documents as to the indebtedness which would be secured thereby prior to giving effect hereto.</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aa. Acknowledgement and Consent to Bail-In of EEA Financial Institutions.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contrary in any Loan Document or in any other agreement, arrangement or understanding among any such parties, each party hereto (including any party becoming a party hereto by virtue of an Assignment and Assumption)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63" w:name="page264"/>
    <w:bookmarkEnd w:id="263"/>
    <w:p>
      <w:pPr>
        <w:ind w:left="660" w:firstLine="644"/>
        <w:spacing w:after="0" w:line="271" w:lineRule="auto"/>
        <w:tabs>
          <w:tab w:leader="none" w:pos="195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xxii.a reduction in full or in part or cancellation of any such liability;</w:t>
      </w:r>
    </w:p>
    <w:p>
      <w:pPr>
        <w:spacing w:after="0" w:line="220" w:lineRule="exact"/>
        <w:rPr>
          <w:sz w:val="20"/>
          <w:szCs w:val="20"/>
          <w:color w:val="auto"/>
        </w:rPr>
      </w:pPr>
    </w:p>
    <w:p>
      <w:pPr>
        <w:jc w:val="both"/>
        <w:ind w:left="1300" w:firstLine="198"/>
        <w:spacing w:after="0" w:line="252" w:lineRule="auto"/>
        <w:rPr>
          <w:sz w:val="20"/>
          <w:szCs w:val="20"/>
          <w:color w:val="auto"/>
        </w:rPr>
      </w:pPr>
      <w:r>
        <w:rPr>
          <w:rFonts w:ascii="Times New Roman" w:cs="Times New Roman" w:eastAsia="Times New Roman" w:hAnsi="Times New Roman"/>
          <w:sz w:val="22"/>
          <w:szCs w:val="22"/>
          <w:color w:val="auto"/>
        </w:rPr>
        <w:t>xxiii.a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sz w:val="20"/>
          <w:szCs w:val="20"/>
          <w:color w:val="auto"/>
        </w:rPr>
      </w:pPr>
    </w:p>
    <w:p>
      <w:pPr>
        <w:jc w:val="both"/>
        <w:ind w:left="1300" w:firstLine="210"/>
        <w:spacing w:after="0" w:line="271" w:lineRule="auto"/>
        <w:rPr>
          <w:sz w:val="20"/>
          <w:szCs w:val="20"/>
          <w:color w:val="auto"/>
        </w:rPr>
      </w:pPr>
      <w:r>
        <w:rPr>
          <w:rFonts w:ascii="Times New Roman" w:cs="Times New Roman" w:eastAsia="Times New Roman" w:hAnsi="Times New Roman"/>
          <w:sz w:val="22"/>
          <w:szCs w:val="22"/>
          <w:color w:val="auto"/>
        </w:rPr>
        <w:t>xxiv.the variation of the terms of such liability in connection with the exercise of the write-down and conversion powers of any EEA Resolution Authority.</w:t>
      </w:r>
    </w:p>
    <w:p>
      <w:pPr>
        <w:spacing w:after="0" w:line="15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Section ab. Acknowledgement Regarding Any Supported QFCs. </w:t>
      </w:r>
      <w:r>
        <w:rPr>
          <w:rFonts w:ascii="Times New Roman" w:cs="Times New Roman" w:eastAsia="Times New Roman" w:hAnsi="Times New Roman"/>
          <w:sz w:val="22"/>
          <w:szCs w:val="22"/>
          <w:color w:val="auto"/>
        </w:rPr>
        <w:t>To the extent that the Loan Documents provide support,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a guarantee or otherwise, for Hedging Agreements or any other agreement or instrument that is a QFC (such support, “</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of America or any other state of the United States):</w:t>
      </w:r>
    </w:p>
    <w:p>
      <w:pPr>
        <w:spacing w:after="0" w:line="185" w:lineRule="exact"/>
        <w:rPr>
          <w:sz w:val="20"/>
          <w:szCs w:val="20"/>
          <w:color w:val="auto"/>
        </w:rPr>
      </w:pPr>
    </w:p>
    <w:p>
      <w:pPr>
        <w:ind w:firstLine="8"/>
        <w:spacing w:after="0" w:line="246" w:lineRule="auto"/>
        <w:tabs>
          <w:tab w:leader="none" w:pos="45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of America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of America or a state of the United States. Without limitation of the foregoing, it is understood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240"/>
          </w:cols>
          <w:pgMar w:left="320" w:top="1422" w:right="339" w:bottom="1440" w:gutter="0" w:footer="0" w:header="0"/>
        </w:sectPr>
      </w:pPr>
    </w:p>
    <w:bookmarkStart w:id="264" w:name="page265"/>
    <w:bookmarkEnd w:id="264"/>
    <w:p>
      <w:pPr>
        <w:ind w:right="600"/>
        <w:spacing w:after="0" w:line="271" w:lineRule="auto"/>
        <w:rPr>
          <w:sz w:val="20"/>
          <w:szCs w:val="20"/>
          <w:color w:val="auto"/>
        </w:rPr>
      </w:pPr>
      <w:r>
        <w:rPr>
          <w:rFonts w:ascii="Times New Roman" w:cs="Times New Roman" w:eastAsia="Times New Roman" w:hAnsi="Times New Roman"/>
          <w:sz w:val="22"/>
          <w:szCs w:val="22"/>
          <w:color w:val="auto"/>
        </w:rPr>
        <w:t>agreed that rights and remedies of the parties with respect to a Defaulting Lender shall in no event affect the rights of any Covered Party with respect to a Supported QFC or any QFC Credit Support.</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As used in this Section 13.28, the following terms have the following meanings: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1841(k)) of such party.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means any of the following:</w:t>
      </w:r>
    </w:p>
    <w:p>
      <w:pPr>
        <w:spacing w:after="0" w:line="224" w:lineRule="exact"/>
        <w:rPr>
          <w:sz w:val="20"/>
          <w:szCs w:val="20"/>
          <w:color w:val="auto"/>
        </w:rPr>
      </w:pPr>
    </w:p>
    <w:p>
      <w:pPr>
        <w:ind w:left="420" w:hanging="412"/>
        <w:spacing w:after="0"/>
        <w:tabs>
          <w:tab w:leader="none" w:pos="4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19" w:lineRule="exact"/>
        <w:rPr>
          <w:rFonts w:ascii="Times New Roman" w:cs="Times New Roman" w:eastAsia="Times New Roman" w:hAnsi="Times New Roman"/>
          <w:sz w:val="22"/>
          <w:szCs w:val="22"/>
          <w:color w:val="auto"/>
        </w:rPr>
      </w:pPr>
    </w:p>
    <w:p>
      <w:pPr>
        <w:ind w:left="540" w:hanging="532"/>
        <w:spacing w:after="0"/>
        <w:tabs>
          <w:tab w:leader="none" w:pos="5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1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4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080"/>
          </w:cols>
          <w:pgMar w:left="320" w:top="1422" w:right="499" w:bottom="1440" w:gutter="0" w:footer="0" w:header="0"/>
        </w:sectPr>
      </w:pPr>
    </w:p>
    <w:bookmarkStart w:id="265" w:name="page266"/>
    <w:bookmarkEnd w:id="265"/>
    <w:p>
      <w:pPr>
        <w:ind w:firstLine="648"/>
        <w:spacing w:after="0" w:line="271" w:lineRule="auto"/>
        <w:rPr>
          <w:sz w:val="20"/>
          <w:szCs w:val="20"/>
          <w:color w:val="auto"/>
        </w:rPr>
      </w:pPr>
      <w:r>
        <w:rPr>
          <w:rFonts w:ascii="Times New Roman" w:cs="Times New Roman" w:eastAsia="Times New Roman" w:hAnsi="Times New Roman"/>
          <w:sz w:val="22"/>
          <w:szCs w:val="22"/>
          <w:color w:val="auto"/>
        </w:rPr>
        <w:t>This Second Amended and Restated Credit Agreement is entered into between us for the uses and purposes hereinabove set forth as of the date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“Borrower”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FCStone Merchant Services, LLC</w:t>
      </w:r>
    </w:p>
    <w:p>
      <w:pPr>
        <w:spacing w:after="0" w:line="247"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Brent Grecian</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Brent Grecian</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“Guarantor”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INTL FCStone Inc.</w:t>
      </w:r>
    </w:p>
    <w:p>
      <w:pPr>
        <w:spacing w:after="0" w:line="247"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Dunaway</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William Dunaway</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CFO</w:t>
      </w:r>
    </w:p>
    <w:p>
      <w:pPr>
        <w:spacing w:after="0" w:line="200" w:lineRule="exact"/>
        <w:rPr>
          <w:sz w:val="20"/>
          <w:szCs w:val="20"/>
          <w:color w:val="auto"/>
        </w:rPr>
      </w:pPr>
    </w:p>
    <w:p>
      <w:pPr>
        <w:spacing w:after="0" w:line="266"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Tricia Harrod</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Tricia Harrod</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ectPr>
          <w:pgSz w:w="11900" w:h="16838" w:orient="portrait"/>
          <w:cols w:equalWidth="0" w:num="1">
            <w:col w:w="11220"/>
          </w:cols>
          <w:pgMar w:left="320" w:top="1422" w:right="359" w:bottom="1440" w:gutter="0" w:footer="0" w:header="0"/>
        </w:sectPr>
      </w:pPr>
    </w:p>
    <w:bookmarkStart w:id="266" w:name="page267"/>
    <w:bookmarkEnd w:id="266"/>
    <w:p>
      <w:pPr>
        <w:ind w:left="390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Administrative Agent And Lenders</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ind w:left="3900"/>
        <w:spacing w:after="0" w:line="271" w:lineRule="auto"/>
        <w:rPr>
          <w:sz w:val="20"/>
          <w:szCs w:val="20"/>
          <w:color w:val="auto"/>
        </w:rPr>
      </w:pPr>
      <w:r>
        <w:rPr>
          <w:rFonts w:ascii="Times New Roman" w:cs="Times New Roman" w:eastAsia="Times New Roman" w:hAnsi="Times New Roman"/>
          <w:sz w:val="22"/>
          <w:szCs w:val="22"/>
          <w:color w:val="auto"/>
        </w:rPr>
        <w:t>COÖPERATIEVE RABOBANK U.A., NEW YORK BRANCH, as Administrative Agent, L/C Issuer, and a Lender</w:t>
      </w:r>
    </w:p>
    <w:p>
      <w:pPr>
        <w:spacing w:after="0" w:line="200" w:lineRule="exact"/>
        <w:rPr>
          <w:sz w:val="20"/>
          <w:szCs w:val="20"/>
          <w:color w:val="auto"/>
        </w:rPr>
      </w:pPr>
    </w:p>
    <w:p>
      <w:pPr>
        <w:spacing w:after="0" w:line="228" w:lineRule="exact"/>
        <w:rPr>
          <w:sz w:val="20"/>
          <w:szCs w:val="20"/>
          <w:color w:val="auto"/>
        </w:rPr>
      </w:pPr>
    </w:p>
    <w:tbl>
      <w:tblPr>
        <w:tblLayout w:type="fixed"/>
        <w:tblInd w:w="3900"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8"/>
              </w:rPr>
              <w:t>/s/ Naoko Kojima</w:t>
            </w:r>
          </w:p>
        </w:tc>
      </w:tr>
      <w:tr>
        <w:trPr>
          <w:trHeight w:val="257"/>
        </w:trPr>
        <w:tc>
          <w:tcPr>
            <w:tcW w:w="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Naoko Kojima</w:t>
            </w: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Executive Director</w:t>
            </w:r>
          </w:p>
        </w:tc>
      </w:tr>
      <w:tr>
        <w:trPr>
          <w:trHeight w:val="71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/s/ Anthony Fidanza</w:t>
            </w:r>
          </w:p>
        </w:tc>
      </w:tr>
      <w:tr>
        <w:trPr>
          <w:trHeight w:val="257"/>
        </w:trPr>
        <w:tc>
          <w:tcPr>
            <w:tcW w:w="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Anthony Fidanza</w:t>
            </w: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2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9"/>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BANK OF MONTREAL, CHICAGO BRANCH, as a Lender</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Krupa Tantuwaya</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Krupa Tantuwaya</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ING CAPITAL LLC, as a Lender</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Peter Lopoukhine</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Peter Lopoukhine</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6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ING CAPITAL LLC, as a Lender</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Caue Todeschm</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Caue Todeschm</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1100"/>
          </w:cols>
          <w:pgMar w:left="320" w:top="1418" w:right="479" w:bottom="1440" w:gutter="0" w:footer="0" w:header="0"/>
        </w:sectPr>
      </w:pPr>
    </w:p>
    <w:bookmarkStart w:id="267" w:name="page268"/>
    <w:bookmarkEnd w:id="267"/>
    <w:p>
      <w:pPr>
        <w:jc w:val="center"/>
        <w:ind w:right="-220"/>
        <w:spacing w:after="0"/>
        <w:rPr>
          <w:sz w:val="20"/>
          <w:szCs w:val="20"/>
          <w:color w:val="auto"/>
        </w:rPr>
      </w:pPr>
      <w:r>
        <w:rPr>
          <w:rFonts w:ascii="Times New Roman" w:cs="Times New Roman" w:eastAsia="Times New Roman" w:hAnsi="Times New Roman"/>
          <w:sz w:val="22"/>
          <w:szCs w:val="22"/>
          <w:color w:val="auto"/>
        </w:rPr>
        <w:t>COBANK, ACB, as a Lender</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Luke Luetchens</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Luke Luetchens</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Supervisor,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22"/>
          <w:szCs w:val="22"/>
          <w:color w:val="auto"/>
        </w:rPr>
        <w:t>HSBC BANK USA, NATIONAL ASSOCIATION, as a Lender</w:t>
      </w:r>
    </w:p>
    <w:p>
      <w:pPr>
        <w:spacing w:after="0" w:line="200" w:lineRule="exact"/>
        <w:rPr>
          <w:sz w:val="20"/>
          <w:szCs w:val="20"/>
          <w:color w:val="auto"/>
        </w:rPr>
      </w:pPr>
    </w:p>
    <w:p>
      <w:pPr>
        <w:spacing w:after="0" w:line="290" w:lineRule="exact"/>
        <w:rPr>
          <w:sz w:val="20"/>
          <w:szCs w:val="20"/>
          <w:color w:val="auto"/>
        </w:rPr>
      </w:pPr>
    </w:p>
    <w:p>
      <w:pPr>
        <w:jc w:val="center"/>
        <w:ind w:right="299"/>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Antonio Nanez</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Antonio Nanez</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Head CSTF NAM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HUNTINGTON NATIONAL BANK, as a Lender</w:t>
      </w:r>
    </w:p>
    <w:p>
      <w:pPr>
        <w:spacing w:after="0" w:line="200" w:lineRule="exact"/>
        <w:rPr>
          <w:sz w:val="20"/>
          <w:szCs w:val="20"/>
          <w:color w:val="auto"/>
        </w:rPr>
      </w:pPr>
    </w:p>
    <w:p>
      <w:pPr>
        <w:spacing w:after="0" w:line="290" w:lineRule="exact"/>
        <w:rPr>
          <w:sz w:val="20"/>
          <w:szCs w:val="20"/>
          <w:color w:val="auto"/>
        </w:rPr>
      </w:pPr>
    </w:p>
    <w:p>
      <w:pPr>
        <w:jc w:val="center"/>
        <w:ind w:right="359"/>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John Weathers</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John Weathers</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SVP, Portfolio Manager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ARVEST BANK, as a Lender</w:t>
      </w:r>
    </w:p>
    <w:p>
      <w:pPr>
        <w:spacing w:after="0" w:line="200" w:lineRule="exact"/>
        <w:rPr>
          <w:sz w:val="20"/>
          <w:szCs w:val="20"/>
          <w:color w:val="auto"/>
        </w:rPr>
      </w:pPr>
    </w:p>
    <w:p>
      <w:pPr>
        <w:spacing w:after="0" w:line="290" w:lineRule="exact"/>
        <w:rPr>
          <w:sz w:val="20"/>
          <w:szCs w:val="20"/>
          <w:color w:val="auto"/>
        </w:rPr>
      </w:pPr>
    </w:p>
    <w:p>
      <w:pPr>
        <w:jc w:val="center"/>
        <w:ind w:right="179"/>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Kevin J. Rooney</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Kevin J. Rooney</w:t>
      </w:r>
    </w:p>
    <w:p>
      <w:pPr>
        <w:spacing w:after="0" w:line="4"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19"/>
          <w:szCs w:val="19"/>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735490334</w:t>
      </w:r>
    </w:p>
    <w:p>
      <w:pPr>
        <w:sectPr>
          <w:pgSz w:w="11900" w:h="16838" w:orient="portrait"/>
          <w:cols w:equalWidth="0" w:num="1">
            <w:col w:w="10139"/>
          </w:cols>
          <w:pgMar w:left="320" w:top="1422"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Treatment has been requested for portions of this exhibit. The copy filed herewith omits the information subject to the confidentiality request.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Omissions are designated as “***”. A complete version of this exhibit has been filed separately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No AGREEMENT No MT4/GCG-07</w:t>
      </w:r>
    </w:p>
    <w:p>
      <w:pPr>
        <w:spacing w:after="0" w:line="20"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Date: 9 August 2007</w:t>
      </w:r>
    </w:p>
    <w:p>
      <w:pPr>
        <w:spacing w:after="0" w:line="124"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 xml:space="preserve">This agreement (hereinafter referred to as “the Agreement”) is made by and between </w:t>
      </w:r>
      <w:r>
        <w:rPr>
          <w:rFonts w:ascii="Times New Roman" w:cs="Times New Roman" w:eastAsia="Times New Roman" w:hAnsi="Times New Roman"/>
          <w:sz w:val="21"/>
          <w:szCs w:val="21"/>
          <w:b w:val="1"/>
          <w:bCs w:val="1"/>
          <w:u w:val="single" w:color="auto"/>
          <w:color w:val="auto"/>
        </w:rPr>
        <w:t>Gain Capital Group, LLC</w:t>
      </w:r>
      <w:r>
        <w:rPr>
          <w:rFonts w:ascii="Times New Roman" w:cs="Times New Roman" w:eastAsia="Times New Roman" w:hAnsi="Times New Roman"/>
          <w:sz w:val="18"/>
          <w:szCs w:val="18"/>
          <w:color w:val="auto"/>
        </w:rPr>
        <w:t xml:space="preserve"> with its principal office located at 550 Hills Drive, Bedminster, N.J. 07921 United States duly represented by its Corporate Operating Officer Chris Calhoun (hereinafter referred to as “the Licensee”) and </w:t>
      </w:r>
      <w:r>
        <w:rPr>
          <w:rFonts w:ascii="Times New Roman" w:cs="Times New Roman" w:eastAsia="Times New Roman" w:hAnsi="Times New Roman"/>
          <w:sz w:val="21"/>
          <w:szCs w:val="21"/>
          <w:b w:val="1"/>
          <w:bCs w:val="1"/>
          <w:color w:val="auto"/>
        </w:rPr>
        <w:t>MetaQuotes Software Corp</w:t>
      </w:r>
      <w:r>
        <w:rPr>
          <w:rFonts w:ascii="Times New Roman" w:cs="Times New Roman" w:eastAsia="Times New Roman" w:hAnsi="Times New Roman"/>
          <w:sz w:val="18"/>
          <w:szCs w:val="18"/>
          <w:color w:val="auto"/>
        </w:rPr>
        <w:t>., #28 Parliament Street, P.O. Box CB-12345, Nassau, Bahamas, duly represented by its General Director Renat Fatkhullin (hereinafter referred to as “the Licensor”). The Licensor and the Licensee may herein-below be jointly referred to as lithe Parties’” and each one in particular, as “a Party”.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171" w:lineRule="exact"/>
        <w:rPr>
          <w:sz w:val="20"/>
          <w:szCs w:val="20"/>
          <w:color w:val="auto"/>
        </w:rPr>
      </w:pPr>
    </w:p>
    <w:p>
      <w:pPr>
        <w:ind w:left="660" w:right="160" w:hanging="328"/>
        <w:spacing w:after="0" w:line="257" w:lineRule="auto"/>
        <w:tabs>
          <w:tab w:leader="none" w:pos="621" w:val="left"/>
        </w:tabs>
        <w:numPr>
          <w:ilvl w:val="0"/>
          <w:numId w:val="165"/>
        </w:numPr>
        <w:rPr>
          <w:rFonts w:ascii="Arial" w:cs="Arial" w:eastAsia="Arial" w:hAnsi="Arial"/>
          <w:sz w:val="19"/>
          <w:szCs w:val="19"/>
          <w:color w:val="auto"/>
        </w:rPr>
      </w:pPr>
      <w:r>
        <w:rPr>
          <w:rFonts w:ascii="Times New Roman" w:cs="Times New Roman" w:eastAsia="Times New Roman" w:hAnsi="Times New Roman"/>
          <w:sz w:val="17"/>
          <w:szCs w:val="17"/>
          <w:color w:val="auto"/>
        </w:rPr>
        <w:t>The Licensor is a legal owner of exclusive property rights and copyright to MetaTrader trading information system, a computer software package (hereinafter referred to as “the System”), properly registered by the Licensor with the Russian Patent and Trademark Office (“Rospatent”) (Certificate No. 200361 1699 dated July 17, 2003), intended for the provision of brokerage service to customers engaged in Internet trading;</w:t>
      </w:r>
    </w:p>
    <w:p>
      <w:pPr>
        <w:spacing w:after="0" w:line="116" w:lineRule="exact"/>
        <w:rPr>
          <w:rFonts w:ascii="Arial" w:cs="Arial" w:eastAsia="Arial" w:hAnsi="Arial"/>
          <w:sz w:val="19"/>
          <w:szCs w:val="19"/>
          <w:color w:val="auto"/>
        </w:rPr>
      </w:pPr>
    </w:p>
    <w:p>
      <w:pPr>
        <w:ind w:left="660" w:right="340" w:hanging="328"/>
        <w:spacing w:after="0" w:line="266"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Licensor is a legal owner of the MetaTrader trademark, properly registered by the Licensor with the Russian Patent and Trademark Office (“Rospatent”) (Certificate No 2003611699 dated July 17’” 2003);</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intends to acquire from the Licensor property rights for the use of the System as intended by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have agreed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SUBJECT OF THE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The Licensor shall grant the Licensee property rights for the use of the System as intended by this Agreement.</w:t>
      </w:r>
    </w:p>
    <w:p>
      <w:pPr>
        <w:spacing w:after="0" w:line="158"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1.2. Licensee shall be entitled to manufacture copies of the System and perform their copying (hereinafter referred to as “the Licensed Number of Copies”) onto computers (servers, workstations, terminals, portable computers and other digital electronic devices), owned by the Licensee and the third parties approved by the Licensor in accordance with the terms and conditions stipulated in this Agreement.</w:t>
      </w:r>
    </w:p>
    <w:p>
      <w:pPr>
        <w:spacing w:after="0" w:line="123" w:lineRule="exact"/>
        <w:rPr>
          <w:sz w:val="20"/>
          <w:szCs w:val="20"/>
          <w:color w:val="auto"/>
        </w:rPr>
      </w:pPr>
    </w:p>
    <w:p>
      <w:pPr>
        <w:ind w:left="180" w:hanging="172"/>
        <w:spacing w:after="0"/>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SET</w:t>
      </w:r>
    </w:p>
    <w:p>
      <w:pPr>
        <w:spacing w:after="0" w:line="17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66"/>
        </w:numPr>
        <w:rPr>
          <w:rFonts w:ascii="Arial" w:cs="Arial" w:eastAsia="Arial" w:hAnsi="Arial"/>
          <w:sz w:val="20"/>
          <w:szCs w:val="20"/>
          <w:color w:val="auto"/>
        </w:rPr>
      </w:pPr>
      <w:r>
        <w:rPr>
          <w:rFonts w:ascii="Times New Roman" w:cs="Times New Roman" w:eastAsia="Times New Roman" w:hAnsi="Times New Roman"/>
          <w:sz w:val="18"/>
          <w:szCs w:val="18"/>
          <w:color w:val="auto"/>
        </w:rPr>
        <w:t>MetaTrader Server (trading server);</w:t>
      </w:r>
    </w:p>
    <w:p>
      <w:pPr>
        <w:spacing w:after="0" w:line="134" w:lineRule="exact"/>
        <w:rPr>
          <w:rFonts w:ascii="Arial" w:cs="Arial" w:eastAsia="Arial" w:hAnsi="Arial"/>
          <w:sz w:val="20"/>
          <w:szCs w:val="20"/>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MetaTrader Data Center (proxy server);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MetaTrader Manager (Manager/Broker workstation);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MetaTrader Administrator (Administrator workstation);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MetaTrader (Client terminal);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MetaTrader4 Manager API, MetaTrader4 Server API, Datafeed API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System components shall be delivered in the form of installation distribution disks and the user manuals shall be built into the software.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documentation and technical instructions shall be posted on the MetaQuotes Support Center website at </w:t>
      </w:r>
      <w:r>
        <w:rPr>
          <w:rFonts w:ascii="Times New Roman" w:cs="Times New Roman" w:eastAsia="Times New Roman" w:hAnsi="Times New Roman"/>
          <w:sz w:val="21"/>
          <w:szCs w:val="21"/>
          <w:u w:val="single" w:color="auto"/>
          <w:color w:val="auto"/>
        </w:rPr>
        <w:t>http://support.metaquotes.net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MetaQuotes Support Center access accounts shall be provided after the completion of the Registration Questionnaire (Supplement No. 1).</w:t>
      </w:r>
    </w:p>
    <w:p>
      <w:pPr>
        <w:sectPr>
          <w:pgSz w:w="11900" w:h="16838" w:orient="portrait"/>
          <w:cols w:equalWidth="0" w:num="1">
            <w:col w:w="11240"/>
          </w:cols>
          <w:pgMar w:left="320" w:top="887" w:right="339" w:bottom="1440" w:gutter="0" w:footer="0" w:header="0"/>
        </w:sectPr>
      </w:pPr>
    </w:p>
    <w:bookmarkStart w:id="269" w:name="page270"/>
    <w:bookmarkEnd w:id="269"/>
    <w:p>
      <w:pPr>
        <w:ind w:right="680"/>
        <w:spacing w:after="0" w:line="266" w:lineRule="auto"/>
        <w:rPr>
          <w:sz w:val="20"/>
          <w:szCs w:val="20"/>
          <w:color w:val="auto"/>
        </w:rPr>
      </w:pPr>
      <w:r>
        <w:rPr>
          <w:rFonts w:ascii="Times New Roman" w:cs="Times New Roman" w:eastAsia="Times New Roman" w:hAnsi="Times New Roman"/>
          <w:sz w:val="18"/>
          <w:szCs w:val="18"/>
          <w:color w:val="auto"/>
        </w:rPr>
        <w:t>Registration details required for the conclusion of trading server and client terminal provision contracts shall also be provided in the Questionnaire (Supplement No. 1).</w:t>
      </w:r>
    </w:p>
    <w:p>
      <w:pPr>
        <w:spacing w:after="0" w:line="95" w:lineRule="exact"/>
        <w:rPr>
          <w:sz w:val="20"/>
          <w:szCs w:val="20"/>
          <w:color w:val="auto"/>
        </w:rPr>
      </w:pPr>
    </w:p>
    <w:p>
      <w:pPr>
        <w:ind w:left="180" w:hanging="172"/>
        <w:spacing w:after="0"/>
        <w:tabs>
          <w:tab w:leader="none" w:pos="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DELIVERY TIMES AND PROCEDURE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The System shall be delivered to the Licensee within three weeks following the execution of this Agreement.</w:t>
      </w:r>
    </w:p>
    <w:p>
      <w:pPr>
        <w:spacing w:after="0" w:line="158"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3.2. The delivery shall be affected by a transmission of the System over the Internet to the Licensee’s address in accordance with the terms and conditions of this Agreement.</w:t>
      </w:r>
    </w:p>
    <w:p>
      <w:pPr>
        <w:spacing w:after="0" w:line="108" w:lineRule="exact"/>
        <w:rPr>
          <w:sz w:val="20"/>
          <w:szCs w:val="20"/>
          <w:color w:val="auto"/>
        </w:rPr>
      </w:pPr>
    </w:p>
    <w:p>
      <w:pPr>
        <w:ind w:left="660" w:right="1640"/>
        <w:spacing w:after="0" w:line="266" w:lineRule="auto"/>
        <w:rPr>
          <w:sz w:val="20"/>
          <w:szCs w:val="20"/>
          <w:color w:val="auto"/>
        </w:rPr>
      </w:pPr>
      <w:r>
        <w:rPr>
          <w:rFonts w:ascii="Times New Roman" w:cs="Times New Roman" w:eastAsia="Times New Roman" w:hAnsi="Times New Roman"/>
          <w:sz w:val="18"/>
          <w:szCs w:val="18"/>
          <w:color w:val="auto"/>
        </w:rPr>
        <w:t>3.3. All the subsequent upgrades of the System shall be conducted automatically via the inbuilt LiveUpdate service from the liveupdate.metaquotes.net authorized server.</w:t>
      </w:r>
    </w:p>
    <w:p>
      <w:pPr>
        <w:spacing w:after="0" w:line="108" w:lineRule="exact"/>
        <w:rPr>
          <w:sz w:val="20"/>
          <w:szCs w:val="20"/>
          <w:color w:val="auto"/>
        </w:rPr>
      </w:pPr>
    </w:p>
    <w:p>
      <w:pPr>
        <w:ind w:left="660" w:right="760"/>
        <w:spacing w:after="0" w:line="266" w:lineRule="auto"/>
        <w:rPr>
          <w:sz w:val="20"/>
          <w:szCs w:val="20"/>
          <w:color w:val="auto"/>
        </w:rPr>
      </w:pPr>
      <w:r>
        <w:rPr>
          <w:rFonts w:ascii="Times New Roman" w:cs="Times New Roman" w:eastAsia="Times New Roman" w:hAnsi="Times New Roman"/>
          <w:sz w:val="18"/>
          <w:szCs w:val="18"/>
          <w:color w:val="auto"/>
        </w:rPr>
        <w:t>3.4. At the Licensee’s choice, the Licensor may perform a remote installation and primary setup of the System server components on the Licensee’s equipment.</w:t>
      </w:r>
    </w:p>
    <w:p>
      <w:pPr>
        <w:spacing w:after="0" w:line="95" w:lineRule="exact"/>
        <w:rPr>
          <w:sz w:val="20"/>
          <w:szCs w:val="20"/>
          <w:color w:val="auto"/>
        </w:rPr>
      </w:pPr>
    </w:p>
    <w:p>
      <w:pPr>
        <w:ind w:left="180" w:hanging="172"/>
        <w:spacing w:after="0"/>
        <w:tabs>
          <w:tab w:leader="none" w:pos="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RIGHTS AND OBLIGATIONS OF THE PARTIES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The Licensor shall grant the Licensee a right of use of the Licensed Number of Copies of each System component:</w:t>
      </w:r>
    </w:p>
    <w:p>
      <w:pPr>
        <w:spacing w:after="0" w:line="171" w:lineRule="exact"/>
        <w:rPr>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Times New Roman" w:cs="Times New Roman" w:eastAsia="Times New Roman" w:hAnsi="Times New Roman"/>
          <w:sz w:val="18"/>
          <w:szCs w:val="18"/>
          <w:color w:val="auto"/>
        </w:rPr>
        <w:t>One working copy of the server (MetaTrader Server);</w:t>
      </w:r>
    </w:p>
    <w:p>
      <w:pPr>
        <w:spacing w:after="0" w:line="123"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One backup copy of the server;</w:t>
      </w:r>
    </w:p>
    <w:p>
      <w:pPr>
        <w:spacing w:after="0" w:line="148"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One demo copy of the server (for training accounts of the ‘demo’ group);</w:t>
      </w:r>
    </w:p>
    <w:p>
      <w:pPr>
        <w:spacing w:after="0" w:line="148"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Unlimited number of copies of proxy servers (Meta Trader Data Center);</w:t>
      </w:r>
    </w:p>
    <w:p>
      <w:pPr>
        <w:spacing w:after="0" w:line="148"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Unlimited number of copies of manager terminals (MetaTrader Manager);</w:t>
      </w:r>
    </w:p>
    <w:p>
      <w:pPr>
        <w:spacing w:after="0" w:line="148"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Unlimited number of copies of administrator terminals (MetaTrader Administrator);</w:t>
      </w:r>
    </w:p>
    <w:p>
      <w:pPr>
        <w:spacing w:after="0" w:line="148" w:lineRule="exact"/>
        <w:rPr>
          <w:rFonts w:ascii="Arial" w:cs="Arial" w:eastAsia="Arial" w:hAnsi="Arial"/>
          <w:sz w:val="20"/>
          <w:szCs w:val="20"/>
          <w:color w:val="auto"/>
        </w:rPr>
      </w:pPr>
    </w:p>
    <w:p>
      <w:pPr>
        <w:ind w:left="1260" w:hanging="604"/>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Unlimited number of copies of MetaTrader client terminals.</w:t>
      </w:r>
    </w:p>
    <w:p>
      <w:pPr>
        <w:spacing w:after="0" w:line="159" w:lineRule="exact"/>
        <w:rPr>
          <w:sz w:val="20"/>
          <w:szCs w:val="20"/>
          <w:color w:val="auto"/>
        </w:rPr>
      </w:pPr>
    </w:p>
    <w:p>
      <w:pPr>
        <w:jc w:val="both"/>
        <w:ind w:left="660" w:right="180"/>
        <w:spacing w:after="0" w:line="245" w:lineRule="auto"/>
        <w:rPr>
          <w:sz w:val="20"/>
          <w:szCs w:val="20"/>
          <w:color w:val="auto"/>
        </w:rPr>
      </w:pPr>
      <w:r>
        <w:rPr>
          <w:rFonts w:ascii="Times New Roman" w:cs="Times New Roman" w:eastAsia="Times New Roman" w:hAnsi="Times New Roman"/>
          <w:sz w:val="18"/>
          <w:szCs w:val="18"/>
          <w:color w:val="auto"/>
        </w:rPr>
        <w:t>The Licensee undertakes to use only the above-mentioned copies of the server components of the MetaTrader Server software. Use of additional copies shall be authorized by the Licensor. Copies of the installed server component may be located at the server sites, either leased or owned by the Licensee. No other installations of the server components are permitted, and the Licensee unconditionally agrees that the breach of this term will entitle the Licensor to termination of this Agreement without any conditions or limitations.</w:t>
      </w:r>
    </w:p>
    <w:p>
      <w:pPr>
        <w:spacing w:after="0" w:line="127"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18"/>
          <w:szCs w:val="18"/>
          <w:color w:val="auto"/>
        </w:rPr>
        <w:t>4.2. The Licensee shall pay for the right of use of the System in accordance with the provisions of par. 5. The Licensor shall only extend the Licensee’s right of use of the System subject to the Licensee’s compliance with the provisions of par. 5.</w:t>
      </w:r>
    </w:p>
    <w:p>
      <w:pPr>
        <w:spacing w:after="0" w:line="108"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4.3. The Licensor undertakes to correct errors identified in the System software. Such errors shall be corrected within a minimal reasonable time, which, however, shall not exceed 3 (three) days from the date of the submission of an error report file to Licensor.</w:t>
      </w:r>
    </w:p>
    <w:p>
      <w:pPr>
        <w:spacing w:after="0" w:line="108"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4.4. The Licensor shall provide free twenty-four-hour technical support of the System for the first 6 (six) months of the date of execution hereof. After the expiration of such 6 (six) months period the technical support shall be provided on a fee basis. The technical support fee might be increased on annual bases.</w:t>
      </w:r>
    </w:p>
    <w:p>
      <w:pPr>
        <w:spacing w:after="0" w:line="123" w:lineRule="exact"/>
        <w:rPr>
          <w:sz w:val="20"/>
          <w:szCs w:val="20"/>
          <w:color w:val="auto"/>
        </w:rPr>
      </w:pPr>
    </w:p>
    <w:p>
      <w:pPr>
        <w:jc w:val="both"/>
        <w:ind w:left="660" w:right="200"/>
        <w:spacing w:after="0" w:line="250" w:lineRule="auto"/>
        <w:rPr>
          <w:sz w:val="20"/>
          <w:szCs w:val="20"/>
          <w:color w:val="auto"/>
        </w:rPr>
      </w:pPr>
      <w:r>
        <w:rPr>
          <w:rFonts w:ascii="Times New Roman" w:cs="Times New Roman" w:eastAsia="Times New Roman" w:hAnsi="Times New Roman"/>
          <w:sz w:val="18"/>
          <w:szCs w:val="18"/>
          <w:color w:val="auto"/>
        </w:rPr>
        <w:t>4.5. Maintenance and warranty service shall be conducted remotely, by transmission and update of the System modules through the LiveUpdate service. In cases where the remote warranty service proves impossible and, as a consequence, the physical presence of the Licensor’s staff at the Licensee’s premises becomes necessary, the related travel and accommodation costs shall be borne by the Licensee.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 The Licensee shall not interfere with the operation of the server components of the LiveUpdate automatic service, which accesses only the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Iiveupdate.metaquotes.net server in order to perform the following tasks:</w:t>
      </w:r>
    </w:p>
    <w:p>
      <w:pPr>
        <w:spacing w:after="0" w:line="138" w:lineRule="exact"/>
        <w:rPr>
          <w:sz w:val="20"/>
          <w:szCs w:val="20"/>
          <w:color w:val="auto"/>
        </w:rPr>
      </w:pPr>
    </w:p>
    <w:p>
      <w:pPr>
        <w:ind w:left="660" w:right="460" w:hanging="4"/>
        <w:spacing w:after="0" w:line="266"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of notification (the notification details include the name of the company, the server release number and the list of IP addresses attached to the trading server) at the launch of the MetaTrader Server;</w:t>
      </w:r>
    </w:p>
    <w:p>
      <w:pPr>
        <w:spacing w:after="0" w:line="10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and loading of the files of System updates (archived, encrypted and signed with the Licensor’s digital signature);</w:t>
      </w:r>
    </w:p>
    <w:p>
      <w:pPr>
        <w:sectPr>
          <w:pgSz w:w="11900" w:h="16838" w:orient="portrait"/>
          <w:cols w:equalWidth="0" w:num="1">
            <w:col w:w="11240"/>
          </w:cols>
          <w:pgMar w:left="320" w:top="891" w:right="339" w:bottom="1440" w:gutter="0" w:footer="0" w:header="0"/>
        </w:sectPr>
      </w:pPr>
    </w:p>
    <w:bookmarkStart w:id="270" w:name="page271"/>
    <w:bookmarkEnd w:id="270"/>
    <w:p>
      <w:pPr>
        <w:ind w:left="660" w:right="120" w:hanging="4"/>
        <w:spacing w:after="0" w:line="266" w:lineRule="auto"/>
        <w:tabs>
          <w:tab w:leader="none" w:pos="76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of the accumulated error record files in text format (in zip archives). The Licensor guarantees that the LiveUpdate service does not perform any other tasks and does not transmit any other information.</w:t>
      </w:r>
    </w:p>
    <w:p>
      <w:pPr>
        <w:spacing w:after="0" w:line="108"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4.7. The Licensor warrants operational efficiency only with respect to the System copies received by the Licensee under this Agreement. Licensee shall accept the delivery of the System with all its in-built components and options.</w:t>
      </w:r>
    </w:p>
    <w:p>
      <w:pPr>
        <w:spacing w:after="0" w:line="108" w:lineRule="exact"/>
        <w:rPr>
          <w:sz w:val="20"/>
          <w:szCs w:val="20"/>
          <w:color w:val="auto"/>
        </w:rPr>
      </w:pPr>
    </w:p>
    <w:p>
      <w:pPr>
        <w:ind w:left="660" w:right="140"/>
        <w:spacing w:after="0" w:line="250" w:lineRule="auto"/>
        <w:rPr>
          <w:sz w:val="20"/>
          <w:szCs w:val="20"/>
          <w:color w:val="auto"/>
        </w:rPr>
      </w:pPr>
      <w:r>
        <w:rPr>
          <w:rFonts w:ascii="Times New Roman" w:cs="Times New Roman" w:eastAsia="Times New Roman" w:hAnsi="Times New Roman"/>
          <w:sz w:val="18"/>
          <w:szCs w:val="18"/>
          <w:color w:val="auto"/>
        </w:rPr>
        <w:t>4.8. As the Licensor does not provide services of an Internet provider or computer equipment installation and monitoring services, it cannot be held liable for any communication and/or equipment failures, delays in reporting of transactions in accounting books or their confirmation or any faults in electric circuits.</w:t>
      </w:r>
    </w:p>
    <w:p>
      <w:pPr>
        <w:spacing w:after="0" w:line="123"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4.9. The Licensor shall not be liable for any legal actions or claims of the Licensee’s customers arising from the relations between the Licensee and its customers, relating to the operation of the System or the use by the Licensee and its customers of the Expert Advisors written using the in-built MetaQuotes Language.</w:t>
      </w:r>
    </w:p>
    <w:p>
      <w:pPr>
        <w:spacing w:after="0" w:line="123" w:lineRule="exact"/>
        <w:rPr>
          <w:sz w:val="20"/>
          <w:szCs w:val="20"/>
          <w:color w:val="auto"/>
        </w:rPr>
      </w:pPr>
    </w:p>
    <w:p>
      <w:pPr>
        <w:ind w:left="660" w:right="460"/>
        <w:spacing w:after="0" w:line="250" w:lineRule="auto"/>
        <w:rPr>
          <w:sz w:val="20"/>
          <w:szCs w:val="20"/>
          <w:color w:val="auto"/>
        </w:rPr>
      </w:pPr>
      <w:r>
        <w:rPr>
          <w:rFonts w:ascii="Times New Roman" w:cs="Times New Roman" w:eastAsia="Times New Roman" w:hAnsi="Times New Roman"/>
          <w:sz w:val="18"/>
          <w:szCs w:val="18"/>
          <w:color w:val="auto"/>
        </w:rPr>
        <w:t>4.10. Where the Licensee develops its own software using MetaTrader Server API, it shall obtain Licensor’s written permission for its use in conjunction with the System. Other than this, The Licensor does not guarantee operational efficiency of a System with additional modules developed on the basis of MetaTrader Server API without an expert examination by the Licensor.</w:t>
      </w:r>
    </w:p>
    <w:p>
      <w:pPr>
        <w:spacing w:after="0" w:line="123"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4.11. No Licensor’s permit is required for the development by the Licensee of its own software using other MetaTrader API except in the cases where the development is for MetaTrader Server API.</w:t>
      </w:r>
    </w:p>
    <w:p>
      <w:pPr>
        <w:spacing w:after="0" w:line="108"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4.12. The Licensor may provide the Licensee with additional White Label licenses for the MetaTrader client terminal subject to execution of an additional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4.13. The Licensee consents to posting its corporate name on the Licensor’s web servers in its capacity of the Licensor’s customer.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4.14. The Licensee shall not withhold information directly relating to the Licensor’s copyright and its other proprietary rights in the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PAYMENT TERMS AND PAYMENT PROCEDURE</w:t>
      </w:r>
    </w:p>
    <w:p>
      <w:pPr>
        <w:spacing w:after="0" w:line="162"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5.1. In consideration of the grant to the Licensee of the property rights mentioned in the Agreement, the Licensee shall pay the Licensor a royalty in the amount of *** (***) in accordance with the following schedule:</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5.1.1. *** (***) from the date of signing this agreement, and</w:t>
      </w:r>
    </w:p>
    <w:p>
      <w:pPr>
        <w:spacing w:after="0" w:line="158" w:lineRule="exact"/>
        <w:rPr>
          <w:sz w:val="20"/>
          <w:szCs w:val="20"/>
          <w:color w:val="auto"/>
        </w:rPr>
      </w:pPr>
    </w:p>
    <w:p>
      <w:pPr>
        <w:ind w:left="1300" w:right="340"/>
        <w:spacing w:after="0" w:line="266" w:lineRule="auto"/>
        <w:rPr>
          <w:sz w:val="20"/>
          <w:szCs w:val="20"/>
          <w:color w:val="auto"/>
        </w:rPr>
      </w:pPr>
      <w:r>
        <w:rPr>
          <w:rFonts w:ascii="Times New Roman" w:cs="Times New Roman" w:eastAsia="Times New Roman" w:hAnsi="Times New Roman"/>
          <w:sz w:val="18"/>
          <w:szCs w:val="18"/>
          <w:color w:val="auto"/>
        </w:rPr>
        <w:t>5.1.2 *** to be paid in installments of *** *** and following each month on the first of each month for the following *** after initial monthly payment.</w:t>
      </w:r>
    </w:p>
    <w:p>
      <w:pPr>
        <w:spacing w:after="0" w:line="108" w:lineRule="exact"/>
        <w:rPr>
          <w:sz w:val="20"/>
          <w:szCs w:val="20"/>
          <w:color w:val="auto"/>
        </w:rPr>
      </w:pPr>
    </w:p>
    <w:p>
      <w:pPr>
        <w:ind w:left="1300" w:right="420"/>
        <w:spacing w:after="0" w:line="266" w:lineRule="auto"/>
        <w:rPr>
          <w:sz w:val="20"/>
          <w:szCs w:val="20"/>
          <w:color w:val="auto"/>
        </w:rPr>
      </w:pPr>
      <w:r>
        <w:rPr>
          <w:rFonts w:ascii="Times New Roman" w:cs="Times New Roman" w:eastAsia="Times New Roman" w:hAnsi="Times New Roman"/>
          <w:sz w:val="18"/>
          <w:szCs w:val="18"/>
          <w:color w:val="auto"/>
        </w:rPr>
        <w:t>5.1.3. The cost to offer services to any White Label Partner would be *** (***) per month for technical support fees plus a one-time setup fee of *** (***).</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 Payment of the monthly fee for the technical support starts *** after contract execution and is equal to ***.</w:t>
      </w:r>
    </w:p>
    <w:p>
      <w:pPr>
        <w:spacing w:after="0" w:line="158" w:lineRule="exact"/>
        <w:rPr>
          <w:sz w:val="20"/>
          <w:szCs w:val="20"/>
          <w:color w:val="auto"/>
        </w:rPr>
      </w:pPr>
    </w:p>
    <w:p>
      <w:pPr>
        <w:ind w:left="1300" w:right="60"/>
        <w:spacing w:after="0" w:line="296" w:lineRule="auto"/>
        <w:rPr>
          <w:sz w:val="20"/>
          <w:szCs w:val="20"/>
          <w:color w:val="auto"/>
        </w:rPr>
      </w:pPr>
      <w:r>
        <w:rPr>
          <w:rFonts w:ascii="Times New Roman" w:cs="Times New Roman" w:eastAsia="Times New Roman" w:hAnsi="Times New Roman"/>
          <w:sz w:val="17"/>
          <w:szCs w:val="17"/>
          <w:color w:val="auto"/>
        </w:rPr>
        <w:t>5.3. Invoices issued by the Licensor are payable within *** days of the date of their receipt. In case of any delay in the payment owed, a penalty is charged at the *** *** per each day of the delay. The total of the penalty cannot exceed the total amount of the payment owed.</w:t>
      </w:r>
    </w:p>
    <w:p>
      <w:pPr>
        <w:spacing w:after="0" w:line="85" w:lineRule="exact"/>
        <w:rPr>
          <w:sz w:val="20"/>
          <w:szCs w:val="20"/>
          <w:color w:val="auto"/>
        </w:rPr>
      </w:pPr>
    </w:p>
    <w:p>
      <w:pPr>
        <w:ind w:left="1560" w:right="820" w:hanging="169"/>
        <w:spacing w:after="0" w:line="266" w:lineRule="auto"/>
        <w:rPr>
          <w:sz w:val="20"/>
          <w:szCs w:val="20"/>
          <w:color w:val="auto"/>
        </w:rPr>
      </w:pPr>
      <w:r>
        <w:rPr>
          <w:rFonts w:ascii="Times New Roman" w:cs="Times New Roman" w:eastAsia="Times New Roman" w:hAnsi="Times New Roman"/>
          <w:sz w:val="18"/>
          <w:szCs w:val="18"/>
          <w:color w:val="auto"/>
        </w:rPr>
        <w:t>5.4. A delay in payment for more than *** after receipt of an invoice shall be considered a material breach of the terms of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EFFECTIVE TERMS OF THE AGREEMENT</w:t>
      </w:r>
    </w:p>
    <w:p>
      <w:pPr>
        <w:spacing w:after="0" w:line="16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6.1. The Agreement shall be deemed to be effective from the moment of its execution by both Parties and shall stay in force until the full discharge by the Parties of their respective obligations.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The Agreement may be terminated subject to mutual consent of the Parties.</w:t>
      </w:r>
    </w:p>
    <w:p>
      <w:pPr>
        <w:spacing w:after="0" w:line="158" w:lineRule="exact"/>
        <w:rPr>
          <w:sz w:val="20"/>
          <w:szCs w:val="20"/>
          <w:color w:val="auto"/>
        </w:rPr>
      </w:pPr>
    </w:p>
    <w:p>
      <w:pPr>
        <w:ind w:left="660" w:right="720"/>
        <w:spacing w:after="0" w:line="266" w:lineRule="auto"/>
        <w:rPr>
          <w:sz w:val="20"/>
          <w:szCs w:val="20"/>
          <w:color w:val="auto"/>
        </w:rPr>
      </w:pPr>
      <w:r>
        <w:rPr>
          <w:rFonts w:ascii="Times New Roman" w:cs="Times New Roman" w:eastAsia="Times New Roman" w:hAnsi="Times New Roman"/>
          <w:sz w:val="18"/>
          <w:szCs w:val="18"/>
          <w:color w:val="auto"/>
        </w:rPr>
        <w:t>6.3. A material breach of the Agreement by any of the Parties may provide proper grounds for termination by the other Party in a manner prescribed by Russian Federation law law.</w:t>
      </w:r>
    </w:p>
    <w:p>
      <w:pPr>
        <w:sectPr>
          <w:pgSz w:w="11900" w:h="16838" w:orient="portrait"/>
          <w:cols w:equalWidth="0" w:num="1">
            <w:col w:w="11240"/>
          </w:cols>
          <w:pgMar w:left="320" w:top="891"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color w:val="auto"/>
        </w:rPr>
        <w:t>7. DISPUTE RESOLUTION</w:t>
      </w:r>
    </w:p>
    <w:p>
      <w:pPr>
        <w:spacing w:after="0" w:line="162"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7.1. Any disputes arising between the Parties shall be settled through negotiations between them. In the case where a dispute cannot be resolved through negotiations of the Parties, it shall be resolved in the manner prescribed by the current law of Russian Federation.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Any other issues which are not addressed by this Agreement shall be governed by the current law of Russian Federation.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CONFIDENTIALITY PROVISIONS</w:t>
      </w:r>
    </w:p>
    <w:p>
      <w:pPr>
        <w:spacing w:after="0" w:line="162" w:lineRule="exact"/>
        <w:rPr>
          <w:sz w:val="20"/>
          <w:szCs w:val="20"/>
          <w:color w:val="auto"/>
        </w:rPr>
      </w:pPr>
    </w:p>
    <w:p>
      <w:pPr>
        <w:jc w:val="both"/>
        <w:ind w:left="660" w:right="160"/>
        <w:spacing w:after="0" w:line="250" w:lineRule="auto"/>
        <w:rPr>
          <w:sz w:val="20"/>
          <w:szCs w:val="20"/>
          <w:color w:val="auto"/>
        </w:rPr>
      </w:pPr>
      <w:r>
        <w:rPr>
          <w:rFonts w:ascii="Times New Roman" w:cs="Times New Roman" w:eastAsia="Times New Roman" w:hAnsi="Times New Roman"/>
          <w:sz w:val="18"/>
          <w:szCs w:val="18"/>
          <w:color w:val="auto"/>
        </w:rPr>
        <w:t>8.1. Unless otherwise required by law, the Licensee shall observe the conditions of confidentiality with respect to this Agreement and its specific provisions and recognize their commercial value for the Licensor. On this basis, the Licensee shall not disclose the contents of this Agreement to non-affiliated third parties.</w:t>
      </w:r>
    </w:p>
    <w:p>
      <w:pPr>
        <w:spacing w:after="0" w:line="123" w:lineRule="exact"/>
        <w:rPr>
          <w:sz w:val="20"/>
          <w:szCs w:val="20"/>
          <w:color w:val="auto"/>
        </w:rPr>
      </w:pPr>
    </w:p>
    <w:p>
      <w:pPr>
        <w:ind w:left="660" w:right="80"/>
        <w:spacing w:after="0" w:line="242" w:lineRule="auto"/>
        <w:rPr>
          <w:sz w:val="20"/>
          <w:szCs w:val="20"/>
          <w:color w:val="auto"/>
        </w:rPr>
      </w:pPr>
      <w:r>
        <w:rPr>
          <w:rFonts w:ascii="Times New Roman" w:cs="Times New Roman" w:eastAsia="Times New Roman" w:hAnsi="Times New Roman"/>
          <w:sz w:val="18"/>
          <w:szCs w:val="18"/>
          <w:color w:val="auto"/>
        </w:rPr>
        <w:t>8.2. Each of the Parties agrees that, within the effective term of this Agreement, as well as after its expiration, it will treat as confidential and not use for its own purposes or disclose without the prior written consent of the other Party to any third party any confidential information, including, without limitation, any operational or technical data, know-how or other information, business and strategic plans, discoveries, production methods, designs, financial and accounting information, sales and marketing data, customer lists and information, except for the cases where such information:</w:t>
      </w:r>
    </w:p>
    <w:p>
      <w:pPr>
        <w:spacing w:after="0" w:line="131" w:lineRule="exact"/>
        <w:rPr>
          <w:sz w:val="20"/>
          <w:szCs w:val="20"/>
          <w:color w:val="auto"/>
        </w:rPr>
      </w:pPr>
    </w:p>
    <w:p>
      <w:pPr>
        <w:ind w:left="760" w:hanging="104"/>
        <w:spacing w:after="0"/>
        <w:tabs>
          <w:tab w:leader="none" w:pos="7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exists in the public domain, or</w:t>
      </w:r>
    </w:p>
    <w:p>
      <w:pPr>
        <w:spacing w:after="0" w:line="157" w:lineRule="exact"/>
        <w:rPr>
          <w:rFonts w:ascii="Times New Roman" w:cs="Times New Roman" w:eastAsia="Times New Roman" w:hAnsi="Times New Roman"/>
          <w:sz w:val="18"/>
          <w:szCs w:val="18"/>
          <w:b w:val="1"/>
          <w:bCs w:val="1"/>
          <w:color w:val="auto"/>
        </w:rPr>
      </w:pPr>
    </w:p>
    <w:p>
      <w:pPr>
        <w:ind w:left="760" w:hanging="104"/>
        <w:spacing w:after="0"/>
        <w:tabs>
          <w:tab w:leader="none" w:pos="7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already available to such Party at the moment of its disclosure, or</w:t>
      </w:r>
    </w:p>
    <w:p>
      <w:pPr>
        <w:spacing w:after="0" w:line="157" w:lineRule="exact"/>
        <w:rPr>
          <w:rFonts w:ascii="Times New Roman" w:cs="Times New Roman" w:eastAsia="Times New Roman" w:hAnsi="Times New Roman"/>
          <w:sz w:val="18"/>
          <w:szCs w:val="18"/>
          <w:b w:val="1"/>
          <w:bCs w:val="1"/>
          <w:color w:val="auto"/>
        </w:rPr>
      </w:pPr>
    </w:p>
    <w:p>
      <w:pPr>
        <w:ind w:left="760" w:hanging="104"/>
        <w:spacing w:after="0"/>
        <w:tabs>
          <w:tab w:leader="none" w:pos="7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subsequently passes into the public domain other than through the violation of this Agreement, or</w:t>
      </w:r>
    </w:p>
    <w:p>
      <w:pPr>
        <w:spacing w:after="0" w:line="157" w:lineRule="exact"/>
        <w:rPr>
          <w:rFonts w:ascii="Times New Roman" w:cs="Times New Roman" w:eastAsia="Times New Roman" w:hAnsi="Times New Roman"/>
          <w:sz w:val="18"/>
          <w:szCs w:val="18"/>
          <w:b w:val="1"/>
          <w:bCs w:val="1"/>
          <w:color w:val="auto"/>
        </w:rPr>
      </w:pPr>
    </w:p>
    <w:p>
      <w:pPr>
        <w:ind w:left="760" w:hanging="104"/>
        <w:spacing w:after="0"/>
        <w:tabs>
          <w:tab w:leader="none" w:pos="7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subsequently made available by such Party to a third party in a legal manner as required by law.</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 Provisions of this Article 8 shall survive the effective term of this Agreement.</w:t>
      </w:r>
    </w:p>
    <w:p>
      <w:pPr>
        <w:spacing w:after="0" w:line="158" w:lineRule="exact"/>
        <w:rPr>
          <w:sz w:val="20"/>
          <w:szCs w:val="20"/>
          <w:color w:val="auto"/>
        </w:rPr>
      </w:pPr>
    </w:p>
    <w:p>
      <w:pPr>
        <w:ind w:left="660" w:right="280"/>
        <w:spacing w:after="0" w:line="250" w:lineRule="auto"/>
        <w:rPr>
          <w:sz w:val="20"/>
          <w:szCs w:val="20"/>
          <w:color w:val="auto"/>
        </w:rPr>
      </w:pPr>
      <w:r>
        <w:rPr>
          <w:rFonts w:ascii="Times New Roman" w:cs="Times New Roman" w:eastAsia="Times New Roman" w:hAnsi="Times New Roman"/>
          <w:sz w:val="18"/>
          <w:szCs w:val="18"/>
          <w:color w:val="auto"/>
        </w:rPr>
        <w:t>8.4. The Licensee shall be required to obtain preliminary written Licensor’s consent (and the Licensor shall not unreasonably withhold such consent) for the disclosure of Confidential materials to third parties in cases where the Licensee is able to prove that it is liable under the law to proceed to such disclosure due to performance of other obligations unrelated to this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MATERIALS OWNED BY THE LICENSOR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The “Materials owned by the Licensor” include:</w:t>
      </w:r>
    </w:p>
    <w:p>
      <w:pPr>
        <w:spacing w:after="0" w:line="158" w:lineRule="exact"/>
        <w:rPr>
          <w:sz w:val="20"/>
          <w:szCs w:val="20"/>
          <w:color w:val="auto"/>
        </w:rPr>
      </w:pPr>
    </w:p>
    <w:p>
      <w:pPr>
        <w:ind w:left="760" w:hanging="104"/>
        <w:spacing w:after="0"/>
        <w:tabs>
          <w:tab w:leader="none" w:pos="7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Licensor’s technical designs, any upgrades of such materials and any parts of such materials in any form, or</w:t>
      </w:r>
    </w:p>
    <w:p>
      <w:pPr>
        <w:spacing w:after="0" w:line="157" w:lineRule="exact"/>
        <w:rPr>
          <w:rFonts w:ascii="Times New Roman" w:cs="Times New Roman" w:eastAsia="Times New Roman" w:hAnsi="Times New Roman"/>
          <w:sz w:val="18"/>
          <w:szCs w:val="18"/>
          <w:b w:val="1"/>
          <w:bCs w:val="1"/>
          <w:color w:val="auto"/>
        </w:rPr>
      </w:pPr>
    </w:p>
    <w:p>
      <w:pPr>
        <w:ind w:left="660" w:right="240" w:hanging="4"/>
        <w:spacing w:after="0" w:line="266" w:lineRule="auto"/>
        <w:tabs>
          <w:tab w:leader="none" w:pos="768"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information or data, whether in written, graphical or machine-readable form, relating to Licensor’s technical designs received by the Licensee from the Licensor, or</w:t>
      </w:r>
    </w:p>
    <w:p>
      <w:pPr>
        <w:spacing w:after="0" w:line="108" w:lineRule="exact"/>
        <w:rPr>
          <w:rFonts w:ascii="Times New Roman" w:cs="Times New Roman" w:eastAsia="Times New Roman" w:hAnsi="Times New Roman"/>
          <w:sz w:val="18"/>
          <w:szCs w:val="18"/>
          <w:b w:val="1"/>
          <w:bCs w:val="1"/>
          <w:color w:val="auto"/>
        </w:rPr>
      </w:pPr>
    </w:p>
    <w:p>
      <w:pPr>
        <w:ind w:left="760" w:hanging="104"/>
        <w:spacing w:after="0"/>
        <w:tabs>
          <w:tab w:leader="none" w:pos="7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Licensor’s technical documentation, articles and news obtained from the MetaQuotes Support Center website (http://support.metaquotes.net).</w:t>
      </w:r>
    </w:p>
    <w:p>
      <w:pPr>
        <w:spacing w:after="0" w:line="158"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9.2. The Licensee acknowledges that the Materials owned by the Licensor are confidential proprietary information and constitute assets which are valuable for the Licensor. The Licensee shall not use any Materials owned by the Licensor for any purposes other than for the purposes specifically mentioned in the Agreement.</w:t>
      </w:r>
    </w:p>
    <w:p>
      <w:pPr>
        <w:spacing w:after="0" w:line="123" w:lineRule="exact"/>
        <w:rPr>
          <w:sz w:val="20"/>
          <w:szCs w:val="20"/>
          <w:color w:val="auto"/>
        </w:rPr>
      </w:pPr>
    </w:p>
    <w:p>
      <w:pPr>
        <w:ind w:left="660"/>
        <w:spacing w:after="0" w:line="272" w:lineRule="auto"/>
        <w:rPr>
          <w:sz w:val="20"/>
          <w:szCs w:val="20"/>
          <w:color w:val="auto"/>
        </w:rPr>
      </w:pPr>
      <w:r>
        <w:rPr>
          <w:rFonts w:ascii="Times New Roman" w:cs="Times New Roman" w:eastAsia="Times New Roman" w:hAnsi="Times New Roman"/>
          <w:sz w:val="17"/>
          <w:szCs w:val="17"/>
          <w:color w:val="auto"/>
        </w:rPr>
        <w:t>9.3. The Licensee agrees not to disclose or provide any Materials owned by the Licensor or any part thereof, in any form, to any persons other than its employees and employees of the Licensor, agents and other duly authorized persons. The Licensee agrees to take appropriate steps to perform its obligations under this Agreement with respect to copying, modification, protection and integrity of such Materials owned by the Licensor.</w:t>
      </w:r>
    </w:p>
    <w:p>
      <w:pPr>
        <w:spacing w:after="0" w:line="105"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9.4. The Licensee shall not perform any disassembling or decompilation of any program entities of the System or attempt otherwise to create, use or modify any software provided by the Licensor, unless such activities are permitted by the conditions of this Agreement.</w:t>
      </w:r>
    </w:p>
    <w:p>
      <w:pPr>
        <w:spacing w:after="0" w:line="108" w:lineRule="exact"/>
        <w:rPr>
          <w:sz w:val="20"/>
          <w:szCs w:val="20"/>
          <w:color w:val="auto"/>
        </w:rPr>
      </w:pPr>
    </w:p>
    <w:p>
      <w:pPr>
        <w:ind w:left="660" w:right="600"/>
        <w:spacing w:after="0" w:line="266" w:lineRule="auto"/>
        <w:rPr>
          <w:sz w:val="20"/>
          <w:szCs w:val="20"/>
          <w:color w:val="auto"/>
        </w:rPr>
      </w:pPr>
      <w:r>
        <w:rPr>
          <w:rFonts w:ascii="Times New Roman" w:cs="Times New Roman" w:eastAsia="Times New Roman" w:hAnsi="Times New Roman"/>
          <w:sz w:val="18"/>
          <w:szCs w:val="18"/>
          <w:color w:val="auto"/>
        </w:rPr>
        <w:t>9.5. The Licensee’s obligations envisaged by this Article 9 shall survive the effective term of this Agreement and continue in force after its termination.</w:t>
      </w:r>
    </w:p>
    <w:p>
      <w:pPr>
        <w:sectPr>
          <w:pgSz w:w="11900" w:h="16838" w:orient="portrait"/>
          <w:cols w:equalWidth="0" w:num="1">
            <w:col w:w="11240"/>
          </w:cols>
          <w:pgMar w:left="320" w:top="887"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color w:val="auto"/>
        </w:rPr>
        <w:t>10. MISCELLANEOUS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10.1. Any amendments to this Agreement shall be invalid unless made in written form and executed by both Parties.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DETAILS OF THE PARTIES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LICENSEE</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THE LICENSOR</w:t>
            </w:r>
          </w:p>
        </w:tc>
      </w:tr>
      <w:tr>
        <w:trPr>
          <w:trHeight w:val="52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Capital Group, LLC</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w w:val="99"/>
              </w:rPr>
              <w:t>MetaQuotes Software Corp.</w:t>
            </w:r>
          </w:p>
        </w:tc>
      </w:tr>
      <w:tr>
        <w:trPr>
          <w:trHeight w:val="79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Hills Drive</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#28 Parliament Street,</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Bedminster, NJ 07921</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P.O. Box CB-12345,</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Nassau, Bahamas</w:t>
            </w:r>
          </w:p>
        </w:tc>
      </w:tr>
      <w:tr>
        <w:trPr>
          <w:trHeight w:val="52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 1.908.731.0750</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Tel.: +7 843 5700037</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Fax: 1.908.731.0788</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+ 357 25875 134</w:t>
            </w:r>
          </w:p>
        </w:tc>
      </w:tr>
      <w:tr>
        <w:trPr>
          <w:trHeight w:val="257"/>
        </w:trPr>
        <w:tc>
          <w:tcPr>
            <w:tcW w:w="3280" w:type="dxa"/>
            <w:vAlign w:val="bottom"/>
          </w:tcPr>
          <w:p>
            <w:pPr>
              <w:spacing w:after="0"/>
              <w:rPr>
                <w:sz w:val="22"/>
                <w:szCs w:val="22"/>
                <w:color w:val="auto"/>
              </w:rPr>
            </w:pP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w w:val="99"/>
              </w:rPr>
              <w:t>Fax: +7 843 5700037 ext. 105</w:t>
            </w:r>
          </w:p>
        </w:tc>
      </w:tr>
      <w:tr>
        <w:trPr>
          <w:trHeight w:val="52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COO: </w:t>
            </w:r>
            <w:r>
              <w:rPr>
                <w:rFonts w:ascii="Times New Roman" w:cs="Times New Roman" w:eastAsia="Times New Roman" w:hAnsi="Times New Roman"/>
                <w:sz w:val="18"/>
                <w:szCs w:val="18"/>
                <w:color w:val="auto"/>
              </w:rPr>
              <w:t>Chris Calhoun</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Renat Fatkhullin</w:t>
            </w:r>
          </w:p>
        </w:tc>
      </w:tr>
      <w:tr>
        <w:trPr>
          <w:trHeight w:val="53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Calhoun</w:t>
            </w:r>
          </w:p>
        </w:tc>
        <w:tc>
          <w:tcPr>
            <w:tcW w:w="5480" w:type="dxa"/>
            <w:vAlign w:val="bottom"/>
          </w:tcPr>
          <w:p>
            <w:pPr>
              <w:spacing w:after="0"/>
              <w:rPr>
                <w:sz w:val="24"/>
                <w:szCs w:val="24"/>
                <w:color w:val="auto"/>
              </w:rPr>
            </w:pPr>
          </w:p>
        </w:tc>
      </w:tr>
    </w:tbl>
    <w:p>
      <w:pPr>
        <w:sectPr>
          <w:pgSz w:w="11900" w:h="16838" w:orient="portrait"/>
          <w:cols w:equalWidth="0" w:num="1">
            <w:col w:w="10139"/>
          </w:cols>
          <w:pgMar w:left="320" w:top="1292" w:right="1440"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 No. 1 REGISTRATION QUESTIONNAIRE</w:t>
            </w: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 General company information</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name</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Capital Group, LLC</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 address of the technical support unit</w:t>
            </w: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 General client terminal information</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mailing address of the company (country, city, ZIP code, correct address)</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550 Hills Drive Bedminster,</w:t>
            </w:r>
          </w:p>
        </w:tc>
      </w:tr>
      <w:tr>
        <w:trPr>
          <w:trHeight w:val="256"/>
        </w:trPr>
        <w:tc>
          <w:tcPr>
            <w:tcW w:w="776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N.J. 07921 USA</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Telephone/Fax (including the country code)</w:t>
            </w: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76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www.gaincapital.com;</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website</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www.forex.com</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correct name of the terminal</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Forex Trader. Meta</w:t>
            </w: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Abbreviated name of the terminal</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Forex Trader. Meta</w:t>
            </w:r>
          </w:p>
        </w:tc>
      </w:tr>
      <w:tr>
        <w:trPr>
          <w:trHeight w:val="5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 Technical administrator contact details</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Haines</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ahaines@gaincapital.com</w:t>
            </w:r>
          </w:p>
        </w:tc>
        <w:tc>
          <w:tcPr>
            <w:tcW w:w="260" w:type="dxa"/>
            <w:vAlign w:val="bottom"/>
            <w:gridSpan w:val="2"/>
          </w:tcPr>
          <w:p>
            <w:pPr>
              <w:spacing w:after="0"/>
              <w:rPr>
                <w:sz w:val="18"/>
                <w:szCs w:val="18"/>
                <w:color w:val="auto"/>
              </w:rPr>
            </w:pPr>
          </w:p>
        </w:tc>
      </w:tr>
      <w:tr>
        <w:trPr>
          <w:trHeight w:val="27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(including the country code)</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908-212-3908 (US)</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ICQ / MSN</w:t>
            </w: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 Servers</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 addresses of trading servers (list, separated by commas)</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TBD</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SMTP server</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TBD</w:t>
            </w:r>
          </w:p>
        </w:tc>
      </w:tr>
      <w:tr>
        <w:trPr>
          <w:trHeight w:val="52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Access accounts of MetaQuotes Support Center</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 email and login</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Haines</w:t>
            </w:r>
          </w:p>
        </w:tc>
      </w:tr>
      <w:tr>
        <w:trPr>
          <w:trHeight w:val="256"/>
        </w:trPr>
        <w:tc>
          <w:tcPr>
            <w:tcW w:w="776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Neil Wilkinson</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 email and login</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nwilkinson@gaincapital.com</w:t>
            </w:r>
          </w:p>
        </w:tc>
      </w:tr>
      <w:tr>
        <w:trPr>
          <w:trHeight w:val="257"/>
        </w:trPr>
        <w:tc>
          <w:tcPr>
            <w:tcW w:w="776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Ravi Srikantan</w:t>
            </w: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 email and login</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rsrikantan@gaincapital.com</w:t>
            </w: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Passwords will be generated and sent to the indicated emailing addresses.</w:t>
            </w: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2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 Payment Coordinator</w:t>
            </w: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Dave Cromartie</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dcromartie@gaincapital.com</w:t>
            </w:r>
          </w:p>
        </w:tc>
      </w:tr>
      <w:tr>
        <w:trPr>
          <w:trHeight w:val="27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(including the country code)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908-212-3923</w:t>
            </w: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ICQ / MSN</w:t>
            </w: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0139"/>
          </w:cols>
          <w:pgMar w:left="320" w:top="887" w:right="1440"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INDEMNIFICATION AGREEMENT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Agreement made and entered into [___], 2009 (“Agreement”), by and between GAIN Capital Holdings, Inc., a Delaware corporation (the “Company”) and [___] (the “Indemnitee”).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it is essential to the Company that it be able to retain and attract as directors the most capable persons available;</w:t>
      </w:r>
    </w:p>
    <w:p>
      <w:pPr>
        <w:spacing w:after="0" w:line="10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WHEREAS, increased corporate litigation has subjected directors to litigation risks and expenses, and the limitations on the availability of directors and officers liability insurance have made it increasingly difficult for the Company to attract and retain such persons;</w:t>
      </w:r>
    </w:p>
    <w:p>
      <w:pPr>
        <w:spacing w:after="0" w:line="5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WHEREAS, the Company desires to provide Indemnitee with specific contractual assurance of Indemnitee’s rights to full indemnification against litigation risks and expenses (regardless, among other things, of any amendment to or revocation of any such by-laws or any change in the ownership of the Company or the composition of its Board of Directors); and</w:t>
      </w:r>
    </w:p>
    <w:p>
      <w:pPr>
        <w:spacing w:after="0" w:line="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WHEREAS, the Company and Indemnitee desire to enter into this Agreement in order for Indemnitee to rely upon the rights afforded under this Agreement in accepting and continuing in Indemnitee’s position as a director of the Company.</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promises and the covenants contained herein, the Company and Indemnitee do hereby covenant and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08" w:lineRule="exact"/>
        <w:rPr>
          <w:sz w:val="20"/>
          <w:szCs w:val="20"/>
          <w:color w:val="auto"/>
        </w:rPr>
      </w:pPr>
    </w:p>
    <w:p>
      <w:pPr>
        <w:ind w:right="280" w:firstLine="8"/>
        <w:spacing w:after="0" w:line="242" w:lineRule="auto"/>
        <w:tabs>
          <w:tab w:leader="none" w:pos="2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Company, including as a member of any committee thereof, (ii) in any capacity with respect to any employee benefit plan of the Company, or (iii) as a director, manager, partner, trustee, officer, employee, or agent of any other Entity at the request of the Company. For purposes of subsection (iii) of this Section 1(a), an officer or director of the Company who is serving or has served as a director, manager, partner, trustee, officer, employee or agent of a Subsidiary (as defined below) shall be deemed to be serving at the request of the Company.</w:t>
      </w:r>
    </w:p>
    <w:p>
      <w:pPr>
        <w:spacing w:after="0" w:line="76" w:lineRule="exact"/>
        <w:rPr>
          <w:rFonts w:ascii="Times New Roman" w:cs="Times New Roman" w:eastAsia="Times New Roman" w:hAnsi="Times New Roman"/>
          <w:sz w:val="18"/>
          <w:szCs w:val="18"/>
          <w:color w:val="auto"/>
        </w:rPr>
      </w:pPr>
    </w:p>
    <w:p>
      <w:pPr>
        <w:ind w:right="420" w:firstLine="8"/>
        <w:spacing w:after="0" w:line="266" w:lineRule="auto"/>
        <w:tabs>
          <w:tab w:leader="none" w:pos="2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shall mean any corporation, partnership, limited liability company, joint venture, trust, foundation, association, organization or other legal entity.</w:t>
      </w:r>
    </w:p>
    <w:p>
      <w:pPr>
        <w:spacing w:after="0" w:line="54" w:lineRule="exact"/>
        <w:rPr>
          <w:rFonts w:ascii="Times New Roman" w:cs="Times New Roman" w:eastAsia="Times New Roman" w:hAnsi="Times New Roman"/>
          <w:sz w:val="18"/>
          <w:szCs w:val="18"/>
          <w:color w:val="auto"/>
        </w:rPr>
      </w:pPr>
    </w:p>
    <w:p>
      <w:pPr>
        <w:ind w:firstLine="8"/>
        <w:spacing w:after="0" w:line="245" w:lineRule="auto"/>
        <w:tabs>
          <w:tab w:leader="none" w:pos="2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shall mean all fees, costs and expenses incurred in connection with any Proceeding (as defined below) and any taxes arising in connection therewith, including, without limitation, reasonable attorneys’ fees, disbursements and retainers (including, without limitation, any such fees, disbursements and retainers incurred by Indemnitee pursuant to Sections 9 and 11(c) of this Agreement), reasonable fees and disbursements of expert witnesses, private investigators and professional advisors (including, without limitation, accountants and</w:t>
      </w:r>
    </w:p>
    <w:p>
      <w:pPr>
        <w:spacing w:after="0" w:line="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investment bankers), court costs, transcript costs, reasonable fees of experts, reasonable travel expenses, duplicating, printing and binding costs, telephone and fax transmission charges, postage, delivery services, secretarial services and other disbursements and expenses.</w:t>
      </w:r>
    </w:p>
    <w:p>
      <w:pPr>
        <w:spacing w:after="0" w:line="54" w:lineRule="exact"/>
        <w:rPr>
          <w:sz w:val="20"/>
          <w:szCs w:val="20"/>
          <w:color w:val="auto"/>
        </w:rPr>
      </w:pPr>
    </w:p>
    <w:p>
      <w:pPr>
        <w:ind w:right="260" w:firstLine="8"/>
        <w:spacing w:after="0" w:line="266"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“Indemnifiable Expenses,” “Indemnifiable Liabilities” and “Indemnifiable Amounts” shall have the meanings ascribed to those terms in Section 3(a) below.</w:t>
      </w:r>
    </w:p>
    <w:p>
      <w:pPr>
        <w:spacing w:after="0" w:line="5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shall mean judgments, damages, liabilities, losses, penalties, excise taxes, fines and amounts paid in settlement.</w:t>
      </w:r>
    </w:p>
    <w:p>
      <w:pPr>
        <w:spacing w:after="0" w:line="103" w:lineRule="exact"/>
        <w:rPr>
          <w:rFonts w:ascii="Times New Roman" w:cs="Times New Roman" w:eastAsia="Times New Roman" w:hAnsi="Times New Roman"/>
          <w:sz w:val="18"/>
          <w:szCs w:val="18"/>
          <w:color w:val="auto"/>
        </w:rPr>
      </w:pPr>
    </w:p>
    <w:p>
      <w:pPr>
        <w:ind w:right="320" w:firstLine="8"/>
        <w:spacing w:after="0" w:line="250" w:lineRule="auto"/>
        <w:tabs>
          <w:tab w:leader="none" w:pos="22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shall mean any threatened, pending or completed claim, action, suit, arbitration, alternate dispute resolution process, investigation, administrative hearing, appeal, or any other proceeding, whether civil, criminal, administrative, arbitrative or investigative, whether formal or informal, including a proceeding initiated by Indemnitee pursuant to Section 11 of this Agreement to enforce Indemnitee’s rights hereunder.</w:t>
      </w:r>
    </w:p>
    <w:p>
      <w:pPr>
        <w:spacing w:after="0" w:line="68" w:lineRule="exact"/>
        <w:rPr>
          <w:rFonts w:ascii="Times New Roman" w:cs="Times New Roman" w:eastAsia="Times New Roman" w:hAnsi="Times New Roman"/>
          <w:sz w:val="18"/>
          <w:szCs w:val="18"/>
          <w:color w:val="auto"/>
        </w:rPr>
      </w:pPr>
    </w:p>
    <w:p>
      <w:pPr>
        <w:ind w:right="120" w:firstLine="8"/>
        <w:spacing w:after="0" w:line="245"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Company owns (either directly or through or together with another Subsidiary of the Company) either (i) a general partner, managing member or other similar interest or (ii) (A) 50% or more of the voting power of the voting capital equity interest of such Entity, or (B) 50% or more of the outstanding voting capital stock or other voting equity interest of such Entity.</w:t>
      </w:r>
    </w:p>
    <w:p>
      <w:pPr>
        <w:spacing w:after="0" w:line="177" w:lineRule="exact"/>
        <w:rPr>
          <w:sz w:val="20"/>
          <w:szCs w:val="20"/>
          <w:color w:val="auto"/>
        </w:rPr>
      </w:pPr>
    </w:p>
    <w:p>
      <w:pPr>
        <w:ind w:right="440" w:firstLine="8"/>
        <w:spacing w:after="0" w:line="252" w:lineRule="auto"/>
        <w:tabs>
          <w:tab w:leader="none" w:pos="18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of Indemnitee. </w:t>
      </w:r>
      <w:r>
        <w:rPr>
          <w:rFonts w:ascii="Times New Roman" w:cs="Times New Roman" w:eastAsia="Times New Roman" w:hAnsi="Times New Roman"/>
          <w:sz w:val="18"/>
          <w:szCs w:val="18"/>
          <w:color w:val="auto"/>
        </w:rPr>
        <w:t>This Agreement shall not be deemed to constitute an agreement of employment nor shall it impose any obligation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or the Company to continue Indemnitee’s service to the Company beyond any period otherwise required by law or by other agreements or commitments of the parties, if any.</w:t>
      </w:r>
    </w:p>
    <w:p>
      <w:pPr>
        <w:sectPr>
          <w:pgSz w:w="11900" w:h="16838" w:orient="portrait"/>
          <w:cols w:equalWidth="0" w:num="1">
            <w:col w:w="11240"/>
          </w:cols>
          <w:pgMar w:left="320" w:top="887" w:right="339" w:bottom="1440" w:gutter="0" w:footer="0" w:header="0"/>
        </w:sectPr>
      </w:pPr>
    </w:p>
    <w:bookmarkStart w:id="275" w:name="page276"/>
    <w:bookmarkEnd w:id="275"/>
    <w:p>
      <w:pPr>
        <w:ind w:left="172" w:hanging="172"/>
        <w:spacing w:after="0"/>
        <w:tabs>
          <w:tab w:leader="none" w:pos="172"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Indemnify. </w:t>
      </w:r>
      <w:r>
        <w:rPr>
          <w:rFonts w:ascii="Times New Roman" w:cs="Times New Roman" w:eastAsia="Times New Roman" w:hAnsi="Times New Roman"/>
          <w:sz w:val="18"/>
          <w:szCs w:val="18"/>
          <w:color w:val="auto"/>
        </w:rPr>
        <w:t>The Company agrees to indemnify Indemnitee as follows:</w:t>
      </w:r>
    </w:p>
    <w:p>
      <w:pPr>
        <w:spacing w:after="0" w:line="108" w:lineRule="exact"/>
        <w:rPr>
          <w:sz w:val="20"/>
          <w:szCs w:val="20"/>
          <w:color w:val="auto"/>
        </w:rPr>
      </w:pPr>
    </w:p>
    <w:p>
      <w:pPr>
        <w:ind w:left="-8" w:right="120" w:firstLine="8"/>
        <w:spacing w:after="0" w:line="245" w:lineRule="auto"/>
        <w:tabs>
          <w:tab w:leader="none" w:pos="23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contained in Section 4(a) below, if Indemnitee was or is a party or is threatened to be made a party to any Proceeding (other than an action by or in the right of the Company) by reason of Indemnitee’s Corporate Status, Indemnitee shall be indemnified by the Company against all Expenses and Liabilities incurred or paid by Indemnitee in connection with such Proceeding (referred to herein as “Indemnifiable Expenses” and “Indemnifiable Liabilities,” respectively, and collectively as “Indemnifiable Amounts”).</w:t>
      </w:r>
    </w:p>
    <w:p>
      <w:pPr>
        <w:spacing w:after="0" w:line="72" w:lineRule="exact"/>
        <w:rPr>
          <w:rFonts w:ascii="Times New Roman" w:cs="Times New Roman" w:eastAsia="Times New Roman" w:hAnsi="Times New Roman"/>
          <w:sz w:val="18"/>
          <w:szCs w:val="18"/>
          <w:color w:val="auto"/>
        </w:rPr>
      </w:pPr>
    </w:p>
    <w:p>
      <w:pPr>
        <w:ind w:left="-8" w:right="100" w:firstLine="8"/>
        <w:spacing w:after="0" w:line="250" w:lineRule="auto"/>
        <w:tabs>
          <w:tab w:leader="none" w:pos="24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subject to the exceptions contained in Section 4(b) below, if Indemnitee was or is a party or is threatened to be made a party to any Proceeding by or in the right of the Company to procure a judgment in its favor by reason of Indemnitee’s Corporate Status, Indemnitee shall be indemnified by the Company against all Indemnifiable Expenses.</w:t>
      </w:r>
    </w:p>
    <w:p>
      <w:pPr>
        <w:spacing w:after="0" w:line="68" w:lineRule="exact"/>
        <w:rPr>
          <w:rFonts w:ascii="Times New Roman" w:cs="Times New Roman" w:eastAsia="Times New Roman" w:hAnsi="Times New Roman"/>
          <w:sz w:val="18"/>
          <w:szCs w:val="18"/>
          <w:color w:val="auto"/>
        </w:rPr>
      </w:pPr>
    </w:p>
    <w:p>
      <w:pPr>
        <w:ind w:left="-8" w:right="200" w:firstLine="8"/>
        <w:spacing w:after="0" w:line="250" w:lineRule="auto"/>
        <w:tabs>
          <w:tab w:leader="none" w:pos="23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if Indemnitee was or is called as an expert witness to any Proceeding in which the Company is a party or which is otherwise related to the Company’s business to which the Indemnitee is not a party, Indemnitee shall be indemnified by the Company against all Expenses incurred by Indemnitee in connection with such Proceeding.</w:t>
      </w:r>
    </w:p>
    <w:p>
      <w:pPr>
        <w:spacing w:after="0" w:line="65" w:lineRule="exact"/>
        <w:rPr>
          <w:sz w:val="20"/>
          <w:szCs w:val="20"/>
          <w:color w:val="auto"/>
        </w:rPr>
      </w:pPr>
    </w:p>
    <w:p>
      <w:pPr>
        <w:ind w:left="-8" w:right="220" w:firstLine="8"/>
        <w:spacing w:after="0" w:line="271" w:lineRule="auto"/>
        <w:tabs>
          <w:tab w:leader="none" w:pos="172"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Exceptions to Indemnification. </w:t>
      </w:r>
      <w:r>
        <w:rPr>
          <w:rFonts w:ascii="Times New Roman" w:cs="Times New Roman" w:eastAsia="Times New Roman" w:hAnsi="Times New Roman"/>
          <w:sz w:val="18"/>
          <w:szCs w:val="18"/>
          <w:color w:val="auto"/>
        </w:rPr>
        <w:t>Indemnitee shall be entitled to indemnification under Sections 3(a) and 3(b) above in all circumstances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50" w:lineRule="exact"/>
        <w:rPr>
          <w:sz w:val="20"/>
          <w:szCs w:val="20"/>
          <w:color w:val="auto"/>
        </w:rPr>
      </w:pPr>
    </w:p>
    <w:p>
      <w:pPr>
        <w:jc w:val="both"/>
        <w:ind w:left="-8" w:right="260" w:firstLine="8"/>
        <w:spacing w:after="0" w:line="264" w:lineRule="auto"/>
        <w:tabs>
          <w:tab w:leader="none" w:pos="23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indemnification is requested under Section 3(a) and it has been adjudicated finally by a court of competent jurisdiction that, in connection with the subject of the Proceeding out of which the claim for indemnification has arisen, Indemnitee failed to act (i) in good faith and (ii) in a manner Indemnitee reasonably believed to be in or not opposed to the best interests of the Company and, with respect to any criminal action or proceeding, Indemnitee had reasonable cause to believe that Indemnitee’s conduct was unlawful, Indemnitee shall not be entitled to payment of Indemnifiable Amounts hereunder.</w:t>
      </w:r>
    </w:p>
    <w:p>
      <w:pPr>
        <w:spacing w:after="0" w:line="57"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indemnification is requested under Section 3(b) and</w:t>
      </w:r>
    </w:p>
    <w:p>
      <w:pPr>
        <w:spacing w:after="0" w:line="104" w:lineRule="exact"/>
        <w:rPr>
          <w:sz w:val="20"/>
          <w:szCs w:val="20"/>
          <w:color w:val="auto"/>
        </w:rPr>
      </w:pPr>
    </w:p>
    <w:p>
      <w:pPr>
        <w:ind w:left="-8" w:right="320" w:firstLine="8"/>
        <w:spacing w:after="0" w:line="250" w:lineRule="auto"/>
        <w:tabs>
          <w:tab w:leader="none" w:pos="20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adjudicated finally by a court of competent jurisdiction that, in connection with the subject of the Proceeding out of which the claim for indemnification has arisen, Indemnitee failed to act (A) in good faith and (B) in a manner Indemnitee reasonably believed to be in or not opposed to the best interests of the Company, Indemnitee shall not be entitled to payment of Indemnifiable Expenses hereunder; or</w:t>
      </w:r>
    </w:p>
    <w:p>
      <w:pPr>
        <w:spacing w:after="0" w:line="68" w:lineRule="exact"/>
        <w:rPr>
          <w:rFonts w:ascii="Times New Roman" w:cs="Times New Roman" w:eastAsia="Times New Roman" w:hAnsi="Times New Roman"/>
          <w:sz w:val="18"/>
          <w:szCs w:val="18"/>
          <w:color w:val="auto"/>
        </w:rPr>
      </w:pPr>
    </w:p>
    <w:p>
      <w:pPr>
        <w:ind w:left="-8" w:right="220" w:firstLine="8"/>
        <w:spacing w:after="0" w:line="260" w:lineRule="auto"/>
        <w:tabs>
          <w:tab w:leader="none" w:pos="25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been adjudicated finally by a court of competent jurisdiction that Indemnitee is liable to the Company with respect to any claim, issue or matter involved in the Proceeding out of which the claim for indemnification has arisen, including, without limitation, a claim that Indemnitee received an improper personal benefit, no Indemnifiable Expenses shall be paid with respect to such claim, issue or matter unless the court of law or another court in which such Proceeding was brought shall determine upon application that, despite the adjudication of liability, but in view of all the circumstances of the case, Indemnitee is fairly and reasonably entitled to indemnity for such Indemnifiable Expenses which such court shall deem proper.</w:t>
      </w:r>
    </w:p>
    <w:p>
      <w:pPr>
        <w:spacing w:after="0" w:line="166" w:lineRule="exact"/>
        <w:rPr>
          <w:sz w:val="20"/>
          <w:szCs w:val="20"/>
          <w:color w:val="auto"/>
        </w:rPr>
      </w:pPr>
    </w:p>
    <w:p>
      <w:pPr>
        <w:ind w:left="-8" w:firstLine="8"/>
        <w:spacing w:after="0" w:line="246" w:lineRule="auto"/>
        <w:tabs>
          <w:tab w:leader="none" w:pos="172"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 for Payment of Indemnifiable Amounts. </w:t>
      </w:r>
      <w:r>
        <w:rPr>
          <w:rFonts w:ascii="Times New Roman" w:cs="Times New Roman" w:eastAsia="Times New Roman" w:hAnsi="Times New Roman"/>
          <w:sz w:val="18"/>
          <w:szCs w:val="18"/>
          <w:color w:val="auto"/>
        </w:rPr>
        <w:t>Indemnitee shall submit to the Company a written request specifying the Indemnifiable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which Indemnitee seeks payment under Section 3 of this Agreement and the basis for the claim. The Company shall pay such Indemnifiable Amounts to Indemnitee within ten (10) calendar days of receipt of the request. At the request of the Company, Indemnitee shall furnish such documentation and information as are reasonably available to Indemnitee and necessary to establish that Indemnitee is entitled to indemnification hereunder.</w:t>
      </w:r>
    </w:p>
    <w:p>
      <w:pPr>
        <w:spacing w:after="0" w:line="177" w:lineRule="exact"/>
        <w:rPr>
          <w:rFonts w:ascii="Times New Roman" w:cs="Times New Roman" w:eastAsia="Times New Roman" w:hAnsi="Times New Roman"/>
          <w:sz w:val="18"/>
          <w:szCs w:val="18"/>
          <w:b w:val="1"/>
          <w:bCs w:val="1"/>
          <w:color w:val="auto"/>
        </w:rPr>
      </w:pPr>
    </w:p>
    <w:p>
      <w:pPr>
        <w:ind w:left="-8" w:right="400" w:firstLine="8"/>
        <w:spacing w:after="0" w:line="271" w:lineRule="auto"/>
        <w:tabs>
          <w:tab w:leader="none" w:pos="172"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Notification and Defense of Proceedings. </w:t>
      </w:r>
      <w:r>
        <w:rPr>
          <w:rFonts w:ascii="Times New Roman" w:cs="Times New Roman" w:eastAsia="Times New Roman" w:hAnsi="Times New Roman"/>
          <w:sz w:val="18"/>
          <w:szCs w:val="18"/>
          <w:color w:val="auto"/>
        </w:rPr>
        <w:t>If any Proceeding is brought against Indemnitee in respect of which indemnity may be sought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50" w:lineRule="exact"/>
        <w:rPr>
          <w:sz w:val="20"/>
          <w:szCs w:val="20"/>
          <w:color w:val="auto"/>
        </w:rPr>
      </w:pPr>
    </w:p>
    <w:p>
      <w:pPr>
        <w:ind w:left="-8" w:right="20" w:firstLine="8"/>
        <w:spacing w:after="0" w:line="238" w:lineRule="auto"/>
        <w:tabs>
          <w:tab w:leader="none" w:pos="23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will promptly notify the Company in writing of the commencement thereof, and the Company and any other indemnifying party similarly notified will be entitled to participate therein at its own expense or to assume the defense thereof and to engage counsel reasonably satisfactory to Indemnitee;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18"/>
          <w:szCs w:val="18"/>
          <w:color w:val="auto"/>
        </w:rPr>
        <w:t>, that the failure to give any such notice shall not disqualify Indemnitee from indemnification hereunder unless the Company’s ability to defend against such Proceeding is materially and adversely prejudiced thereby. Notice to the Company shall be directed to the Chief Executive Officer of the Company at the address shown in Section 21 of this Agreement (or such other address as the Company shall designate in writing to Indemnitee pursuant to Section 21). Notice shall be deemed received three (3) business days after the date postmarked if sent by domestic certified or registered mail, properly addressed; otherwise notice shall be deemed received when such notice shall actually be received by the Company. Indemnitee shall have the right to engage his or her own counsel in connection with any such Proceeding and to participate in the defense thereof, but the fees and expenses of such counsel shall be at the expense of Indemnitee unless (i) the Company shall not have assumed the defense of the Proceeding and employed counsel for such defense, or (ii) the named parties to any such action (including any impleaded parties) include both Indemnitee and the Company, and Indemnitee shall have reasonably concluded that joint representation is inappropriate under applicable standards of professional conduct due to a material conflict of interest between Indemnitee and the Company, in either of which events the reasonable fees and expenses of such counsel to Indemnitee shall be borne by the Company, subject to Section 9.</w:t>
      </w:r>
    </w:p>
    <w:p>
      <w:pPr>
        <w:sectPr>
          <w:pgSz w:w="11900" w:h="16838" w:orient="portrait"/>
          <w:cols w:equalWidth="0" w:num="1">
            <w:col w:w="11232"/>
          </w:cols>
          <w:pgMar w:left="328" w:top="887" w:right="339" w:bottom="1440" w:gutter="0" w:footer="0" w:header="0"/>
        </w:sectPr>
      </w:pPr>
    </w:p>
    <w:bookmarkStart w:id="276" w:name="page277"/>
    <w:bookmarkEnd w:id="276"/>
    <w:p>
      <w:pPr>
        <w:ind w:left="-8" w:right="20" w:firstLine="8"/>
        <w:spacing w:after="0" w:line="242" w:lineRule="auto"/>
        <w:tabs>
          <w:tab w:leader="none" w:pos="24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to indemnify Indemnitee for any amounts paid in settlement of any Proceeding effected without the Company’s written consent, and the Company shall not settle any Proceeding in a manner which would impose any penalty or limitation on Indemnitee without Indemnitee’s written consent;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18"/>
          <w:szCs w:val="18"/>
          <w:color w:val="auto"/>
        </w:rPr>
        <w:t xml:space="preserve">, that neither the Company nor Indemnitee will unreasonably withhold its consent to any proposed settlement;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17"/>
          <w:szCs w:val="17"/>
          <w:color w:val="auto"/>
        </w:rPr>
        <w:t>, that if a Proceeding is settled by Indemnitee with the Company’s written consent, or if there be a final judgment or decree for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7"/>
          <w:szCs w:val="17"/>
          <w:color w:val="auto"/>
        </w:rPr>
        <w:t>plaintiff in connection with the Proceeding by a court of competent jurisdiction, the Company shall indemnify and hold harmless Indemnitee from and against any and all Indemnifiable Losses incurred by reason of such settlement or judgment. The Company shall not, without the prior written consent of Indemnitee, consent to the entry of any judgment against Indemnitee or enter into any settlement or compromise which (i) includes an admission of fault of Indemnitee or (ii) does not include, as an unconditional term thereof, the full release of Indemnitee from all liability in respect of the Proceeding, which release shall be in form and substance reasonably satisfactory to Indemnitee.</w:t>
      </w:r>
    </w:p>
    <w:p>
      <w:pPr>
        <w:spacing w:after="0" w:line="179" w:lineRule="exact"/>
        <w:rPr>
          <w:sz w:val="20"/>
          <w:szCs w:val="20"/>
          <w:color w:val="auto"/>
        </w:rPr>
      </w:pPr>
    </w:p>
    <w:p>
      <w:pPr>
        <w:ind w:left="-8" w:right="120" w:firstLine="8"/>
        <w:spacing w:after="0" w:line="257" w:lineRule="auto"/>
        <w:tabs>
          <w:tab w:leader="none" w:pos="172"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Indemnification for Expenses of a Party Who is Wholly or Partly Successful. </w:t>
      </w:r>
      <w:r>
        <w:rPr>
          <w:rFonts w:ascii="Times New Roman" w:cs="Times New Roman" w:eastAsia="Times New Roman" w:hAnsi="Times New Roman"/>
          <w:sz w:val="17"/>
          <w:szCs w:val="17"/>
          <w:color w:val="auto"/>
        </w:rPr>
        <w:t>Notwithstanding any other provision of this Agreement, and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limiting any such provision, to the extent that Indemnitee is, by reason of Indemnitee’s Corporate Status, a party to and is successful, on the merits or otherwise, in any Proceeding, Indemnitee shall be indemnified against all Expenses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reasonably incurred by Indemnitee or on Indemnitee’s behalf in connection with each successfully resolved claim, issue or matter. For purposes of this Agreement, the termination of any claim, issue or matter in such a Proceeding by dismissal, with or without prejudice, shall be deemed to be a successful result as to such claim, issue or matter.</w:t>
      </w:r>
    </w:p>
    <w:p>
      <w:pPr>
        <w:spacing w:after="0" w:line="168" w:lineRule="exact"/>
        <w:rPr>
          <w:rFonts w:ascii="Times New Roman" w:cs="Times New Roman" w:eastAsia="Times New Roman" w:hAnsi="Times New Roman"/>
          <w:sz w:val="17"/>
          <w:szCs w:val="17"/>
          <w:b w:val="1"/>
          <w:bCs w:val="1"/>
          <w:color w:val="auto"/>
        </w:rPr>
      </w:pPr>
    </w:p>
    <w:p>
      <w:pPr>
        <w:ind w:left="-8" w:right="40" w:firstLine="8"/>
        <w:spacing w:after="0" w:line="243" w:lineRule="auto"/>
        <w:tabs>
          <w:tab w:leader="none" w:pos="17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Certain Resolutions. </w:t>
      </w:r>
      <w:r>
        <w:rPr>
          <w:rFonts w:ascii="Times New Roman" w:cs="Times New Roman" w:eastAsia="Times New Roman" w:hAnsi="Times New Roman"/>
          <w:sz w:val="18"/>
          <w:szCs w:val="18"/>
          <w:color w:val="auto"/>
        </w:rPr>
        <w:t>Neither the settlement nor termination of any Proceeding nor the failure of the Company to award indemnification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indemnification is payable shall create an adverse presumption that Indemnitee is not entitled to indemnification hereunder. In addition, the termination of any Proceeding by judgment, order, settlement, conviction, or upon a plea of nolo contendere or its equivalent shall not create a presumption that Indemnitee did not act in good faith and in a manner which Indemnitee reasonably believed to be in or not opposed to the best interests of the Company or, with respect to any criminal action or proceeding, had reasonable cause to believe that Indemnitee’s action was unlawful.</w:t>
      </w:r>
    </w:p>
    <w:p>
      <w:pPr>
        <w:spacing w:after="0" w:line="180" w:lineRule="exact"/>
        <w:rPr>
          <w:rFonts w:ascii="Times New Roman" w:cs="Times New Roman" w:eastAsia="Times New Roman" w:hAnsi="Times New Roman"/>
          <w:sz w:val="18"/>
          <w:szCs w:val="18"/>
          <w:b w:val="1"/>
          <w:bCs w:val="1"/>
          <w:color w:val="auto"/>
        </w:rPr>
      </w:pPr>
    </w:p>
    <w:p>
      <w:pPr>
        <w:ind w:left="-8" w:firstLine="8"/>
        <w:spacing w:after="0" w:line="243" w:lineRule="auto"/>
        <w:tabs>
          <w:tab w:leader="none" w:pos="17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Advance Expenses; Conditions. </w:t>
      </w:r>
      <w:r>
        <w:rPr>
          <w:rFonts w:ascii="Times New Roman" w:cs="Times New Roman" w:eastAsia="Times New Roman" w:hAnsi="Times New Roman"/>
          <w:sz w:val="18"/>
          <w:szCs w:val="18"/>
          <w:color w:val="auto"/>
        </w:rPr>
        <w:t>The Company shall pay to Indemnitee all Indemnifiable Expenses incurred by Indemnitee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Proceeding, including a Proceeding by or in the right of the Company, in advance of the final disposition of such Proceeding, as the same are incurred. To the extent required by Delaware law, Indemnitee hereby undertakes to repay the amount of Indemnifiable Expenses paid to Indemnitee if it is finally determined by a court of competent jurisdiction that Indemnitee is not entitled under this Agreement to indemnification with respect to such Indemnifiable Expenses. This undertaking is an unlimited general obligation of Indemnitee.</w:t>
      </w:r>
    </w:p>
    <w:p>
      <w:pPr>
        <w:spacing w:after="0" w:line="180" w:lineRule="exact"/>
        <w:rPr>
          <w:rFonts w:ascii="Times New Roman" w:cs="Times New Roman" w:eastAsia="Times New Roman" w:hAnsi="Times New Roman"/>
          <w:sz w:val="18"/>
          <w:szCs w:val="18"/>
          <w:b w:val="1"/>
          <w:bCs w:val="1"/>
          <w:color w:val="auto"/>
        </w:rPr>
      </w:pPr>
    </w:p>
    <w:p>
      <w:pPr>
        <w:ind w:left="-8" w:right="160" w:firstLine="8"/>
        <w:spacing w:after="0" w:line="246" w:lineRule="auto"/>
        <w:tabs>
          <w:tab w:leader="none" w:pos="26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 for Advance Payment of Expenses. </w:t>
      </w:r>
      <w:r>
        <w:rPr>
          <w:rFonts w:ascii="Times New Roman" w:cs="Times New Roman" w:eastAsia="Times New Roman" w:hAnsi="Times New Roman"/>
          <w:sz w:val="18"/>
          <w:szCs w:val="18"/>
          <w:color w:val="auto"/>
        </w:rPr>
        <w:t>Indemnitee shall submit to the Company a written request specifying the Indemnifiable Expenses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Indemnitee seeks an advancement under Section 9 of this Agreement, together with documentation evidencing that Indemnitee has incurred such Indemnifiable Expenses. Payment of Indemnifiable Expenses under Section 9 shall be made no later than ten (10) calendar days after the Company’s receipt of such request and receipt of the documentation described above.</w:t>
      </w:r>
    </w:p>
    <w:p>
      <w:pPr>
        <w:spacing w:after="0" w:line="177"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of Indemnitee.</w:t>
      </w:r>
    </w:p>
    <w:p>
      <w:pPr>
        <w:spacing w:after="0" w:line="98" w:lineRule="exact"/>
        <w:rPr>
          <w:sz w:val="20"/>
          <w:szCs w:val="20"/>
          <w:color w:val="auto"/>
        </w:rPr>
      </w:pPr>
    </w:p>
    <w:p>
      <w:pPr>
        <w:ind w:left="-8" w:firstLine="8"/>
        <w:spacing w:after="0" w:line="264" w:lineRule="auto"/>
        <w:tabs>
          <w:tab w:leader="none" w:pos="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Right to Petition Court</w:t>
      </w:r>
      <w:r>
        <w:rPr>
          <w:rFonts w:ascii="Times New Roman" w:cs="Times New Roman" w:eastAsia="Times New Roman" w:hAnsi="Times New Roman"/>
          <w:sz w:val="17"/>
          <w:szCs w:val="17"/>
          <w:color w:val="auto"/>
        </w:rPr>
        <w:t>. In the event that Indemnitee makes a request for payment of Indemnifiable Amounts under Sections 3 and 5 above or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request for an advancement of Indemnifiable Expenses under Sections 9 and 10 above and the Company fails to make such payment or advancement in a timely manner pursuant to the terms of this Agreement, Indemnitee may petition a court of law to enforce the Company’s obligations under this Agreement.</w:t>
      </w:r>
    </w:p>
    <w:p>
      <w:pPr>
        <w:spacing w:after="0" w:line="47" w:lineRule="exact"/>
        <w:rPr>
          <w:rFonts w:ascii="Times New Roman" w:cs="Times New Roman" w:eastAsia="Times New Roman" w:hAnsi="Times New Roman"/>
          <w:sz w:val="18"/>
          <w:szCs w:val="18"/>
          <w:color w:val="auto"/>
        </w:rPr>
      </w:pPr>
    </w:p>
    <w:p>
      <w:pPr>
        <w:ind w:left="-8" w:right="20" w:firstLine="8"/>
        <w:spacing w:after="0" w:line="230" w:lineRule="auto"/>
        <w:tabs>
          <w:tab w:leader="none" w:pos="24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17"/>
          <w:szCs w:val="17"/>
          <w:color w:val="auto"/>
        </w:rPr>
        <w:t>. In any judicial proceeding brought under Section 11(a) above, the Company shall have the burden of proving that Indemnitee is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entitled to payment of Indemnifiable Amounts hereunder.</w:t>
      </w:r>
    </w:p>
    <w:p>
      <w:pPr>
        <w:spacing w:after="0" w:line="68" w:lineRule="exact"/>
        <w:rPr>
          <w:rFonts w:ascii="Times New Roman" w:cs="Times New Roman" w:eastAsia="Times New Roman" w:hAnsi="Times New Roman"/>
          <w:sz w:val="18"/>
          <w:szCs w:val="18"/>
          <w:color w:val="auto"/>
        </w:rPr>
      </w:pPr>
    </w:p>
    <w:p>
      <w:pPr>
        <w:jc w:val="both"/>
        <w:ind w:left="-8" w:right="120" w:firstLine="8"/>
        <w:spacing w:after="0" w:line="264" w:lineRule="auto"/>
        <w:tabs>
          <w:tab w:leader="none" w:pos="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17"/>
          <w:szCs w:val="17"/>
          <w:color w:val="auto"/>
        </w:rPr>
        <w:t>. The Company agrees to reimburse Indemnitee in full for any Expenses incurred by Indemnitee in connection with investigating, preparing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 litigating, defending or settling any action brought by Indemnitee under Section 11(a) above, or in connection with any claim or counterclaim brought by the Company in connection therewith.</w:t>
      </w:r>
    </w:p>
    <w:p>
      <w:pPr>
        <w:spacing w:after="0" w:line="47" w:lineRule="exact"/>
        <w:rPr>
          <w:rFonts w:ascii="Times New Roman" w:cs="Times New Roman" w:eastAsia="Times New Roman" w:hAnsi="Times New Roman"/>
          <w:sz w:val="18"/>
          <w:szCs w:val="18"/>
          <w:color w:val="auto"/>
        </w:rPr>
      </w:pPr>
    </w:p>
    <w:p>
      <w:pPr>
        <w:ind w:left="-8" w:right="220" w:firstLine="8"/>
        <w:spacing w:after="0" w:line="286" w:lineRule="auto"/>
        <w:tabs>
          <w:tab w:leader="none" w:pos="24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Validity of Agreement</w:t>
      </w:r>
      <w:r>
        <w:rPr>
          <w:rFonts w:ascii="Times New Roman" w:cs="Times New Roman" w:eastAsia="Times New Roman" w:hAnsi="Times New Roman"/>
          <w:sz w:val="17"/>
          <w:szCs w:val="17"/>
          <w:color w:val="auto"/>
        </w:rPr>
        <w:t>. The Company shall be precluded from asserting in any Proceeding, including, without limitation, an action under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11(a) above, that the provisions of this Agreement are not valid, binding and enforceable or that there is insufficient</w:t>
      </w:r>
    </w:p>
    <w:p>
      <w:pPr>
        <w:spacing w:after="0" w:line="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32"/>
          </w:cols>
          <w:pgMar w:left="328" w:top="891" w:right="339" w:bottom="1440" w:gutter="0" w:footer="0" w:header="0"/>
        </w:sectPr>
      </w:pPr>
    </w:p>
    <w:bookmarkStart w:id="277" w:name="page278"/>
    <w:bookmarkEnd w:id="27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for this Agreement and shall stipulate in court that the Company is bound by all the provisions of this Agreement.</w:t>
      </w:r>
    </w:p>
    <w:p>
      <w:pPr>
        <w:spacing w:after="0" w:line="94" w:lineRule="exact"/>
        <w:rPr>
          <w:sz w:val="20"/>
          <w:szCs w:val="20"/>
          <w:color w:val="auto"/>
        </w:rPr>
      </w:pPr>
    </w:p>
    <w:p>
      <w:pPr>
        <w:ind w:firstLine="8"/>
        <w:spacing w:after="0" w:line="238" w:lineRule="auto"/>
        <w:tabs>
          <w:tab w:leader="none" w:pos="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Failure to Act Not a Defense</w:t>
      </w:r>
      <w:r>
        <w:rPr>
          <w:rFonts w:ascii="Times New Roman" w:cs="Times New Roman" w:eastAsia="Times New Roman" w:hAnsi="Times New Roman"/>
          <w:sz w:val="17"/>
          <w:szCs w:val="17"/>
          <w:color w:val="auto"/>
        </w:rPr>
        <w:t>. The failure of the Company (including its Board of Directors or any committee thereof, independent legal counsel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stockholders) to make a determination concerning the permissibility of the payment of Indemnifiable Amounts or the advancement of Indemnifiable Expenses under this Agreement shall not be a defense in any action brought under Section 11(a) above, and shall not create a presumption that such payment or advancement is not permissible.</w:t>
      </w:r>
    </w:p>
    <w:p>
      <w:pPr>
        <w:spacing w:after="0" w:line="182" w:lineRule="exact"/>
        <w:rPr>
          <w:sz w:val="20"/>
          <w:szCs w:val="20"/>
          <w:color w:val="auto"/>
        </w:rPr>
      </w:pPr>
    </w:p>
    <w:p>
      <w:pPr>
        <w:ind w:left="280" w:hanging="272"/>
        <w:spacing w:after="0"/>
        <w:tabs>
          <w:tab w:leader="none" w:pos="28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hereby represents and warrants to Indemnitee as follows:</w:t>
      </w:r>
    </w:p>
    <w:p>
      <w:pPr>
        <w:spacing w:after="0" w:line="98" w:lineRule="exact"/>
        <w:rPr>
          <w:sz w:val="20"/>
          <w:szCs w:val="20"/>
          <w:color w:val="auto"/>
        </w:rPr>
      </w:pPr>
    </w:p>
    <w:p>
      <w:pPr>
        <w:ind w:right="580" w:firstLine="8"/>
        <w:spacing w:after="0" w:line="230" w:lineRule="auto"/>
        <w:tabs>
          <w:tab w:leader="none" w:pos="2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17"/>
          <w:szCs w:val="17"/>
          <w:color w:val="auto"/>
        </w:rPr>
        <w:t>. The Company has all necessary power and authority to enter into, and be bound by the terms of, this Agreement, and the execution,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delivery and performance of the undertakings contemplated by this Agreement have been duly authorized by the Company.</w:t>
      </w:r>
    </w:p>
    <w:p>
      <w:pPr>
        <w:spacing w:after="0" w:line="68" w:lineRule="exact"/>
        <w:rPr>
          <w:rFonts w:ascii="Times New Roman" w:cs="Times New Roman" w:eastAsia="Times New Roman" w:hAnsi="Times New Roman"/>
          <w:sz w:val="18"/>
          <w:szCs w:val="18"/>
          <w:color w:val="auto"/>
        </w:rPr>
      </w:pPr>
    </w:p>
    <w:p>
      <w:pPr>
        <w:ind w:right="180" w:firstLine="8"/>
        <w:spacing w:after="0" w:line="235" w:lineRule="auto"/>
        <w:tabs>
          <w:tab w:leader="none" w:pos="25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17"/>
          <w:szCs w:val="17"/>
          <w:color w:val="auto"/>
        </w:rPr>
        <w:t>. This Agreement, when executed and delivered by the Company in accordance with the provisions hereof, shall be a legal, valid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binding obligation of the Company, enforceable against the Company in accordance with its terms, except as such enforceability may be limited by applicable bankruptcy, insolvency, moratorium, reorganization or similar laws affecting the enforcement of creditors’ rights generally.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Insurance.</w:t>
      </w:r>
    </w:p>
    <w:p>
      <w:pPr>
        <w:spacing w:after="0" w:line="108" w:lineRule="exact"/>
        <w:rPr>
          <w:sz w:val="20"/>
          <w:szCs w:val="20"/>
          <w:color w:val="auto"/>
        </w:rPr>
      </w:pPr>
    </w:p>
    <w:p>
      <w:pPr>
        <w:ind w:right="80" w:firstLine="8"/>
        <w:spacing w:after="0" w:line="239" w:lineRule="auto"/>
        <w:tabs>
          <w:tab w:leader="none" w:pos="24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promptly as practicable following the date hereof, obtain and maintain directors and officers’ liability insurance coverage on terms reasonably satisfactory to the Indemnitee of at least $5,000,000, covering, among other things, violations of federal or state securities laws (and immediately prior to the consummation of an Initial Public Offering the level of coverage shall be increased to at least $10,000,000). In all policies of director and officer liability insurance, Indemnitee shall be named as an insured in such a manner as to provide Indemnitee the same rights and benefits as are accorded to the most favorably insured of the Company’s officers and directors. As used herein, the term “Initial Public Offering” shall mean the Company’s first firm commitment underwritten public offering of its Common Stock registered under the Securities Act of 1933, as amended (or any similar successor federal statute and the rules and regulations thereunder, all as the same shall be in effect from time to time) covering the offer and sale by the Company of its common stock.</w:t>
      </w:r>
    </w:p>
    <w:p>
      <w:pPr>
        <w:spacing w:after="0" w:line="79" w:lineRule="exact"/>
        <w:rPr>
          <w:rFonts w:ascii="Times New Roman" w:cs="Times New Roman" w:eastAsia="Times New Roman" w:hAnsi="Times New Roman"/>
          <w:sz w:val="18"/>
          <w:szCs w:val="18"/>
          <w:color w:val="auto"/>
        </w:rPr>
      </w:pPr>
    </w:p>
    <w:p>
      <w:pPr>
        <w:ind w:right="180" w:firstLine="8"/>
        <w:spacing w:after="0" w:line="245"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the receipt of a notice of a Proceeding pursuant to Section 6(a) of this Agreement, the Company has director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7" w:lineRule="exact"/>
        <w:rPr>
          <w:sz w:val="20"/>
          <w:szCs w:val="20"/>
          <w:color w:val="auto"/>
        </w:rPr>
      </w:pPr>
    </w:p>
    <w:p>
      <w:pPr>
        <w:ind w:right="180" w:firstLine="8"/>
        <w:spacing w:after="0" w:line="243" w:lineRule="auto"/>
        <w:tabs>
          <w:tab w:leader="none" w:pos="27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Contract Rights Not Exclusive. </w:t>
      </w:r>
      <w:r>
        <w:rPr>
          <w:rFonts w:ascii="Times New Roman" w:cs="Times New Roman" w:eastAsia="Times New Roman" w:hAnsi="Times New Roman"/>
          <w:sz w:val="18"/>
          <w:szCs w:val="18"/>
          <w:color w:val="auto"/>
        </w:rPr>
        <w:t>The rights to payment of Indemnifiable Amounts and advancement of Indemnifiable Expenses provided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in addition to, but not exclusive of, any other rights which Indemnitee may have at any time under applicable law, the Company’s by-laws or certificate of incorporation, any insurance policy purchased or maintained by the Indemnitee or the Fund Indemnitors (as defined below) or any other agreement, vote of stockholders or directors (or a committee of directors), or otherwise, both as to action in Indemnitee’s official capacity and as to action in any other capacity as a result of Indemnitee’s serving as a director of the Company.</w:t>
      </w:r>
    </w:p>
    <w:p>
      <w:pPr>
        <w:spacing w:after="0" w:line="180" w:lineRule="exact"/>
        <w:rPr>
          <w:rFonts w:ascii="Times New Roman" w:cs="Times New Roman" w:eastAsia="Times New Roman" w:hAnsi="Times New Roman"/>
          <w:sz w:val="18"/>
          <w:szCs w:val="18"/>
          <w:b w:val="1"/>
          <w:bCs w:val="1"/>
          <w:color w:val="auto"/>
        </w:rPr>
      </w:pPr>
    </w:p>
    <w:p>
      <w:pPr>
        <w:ind w:right="300" w:firstLine="8"/>
        <w:spacing w:after="0" w:line="243" w:lineRule="auto"/>
        <w:tabs>
          <w:tab w:leader="none" w:pos="27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(a) binding upon all successors and assigns of the Company (including any transferee of all or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business, stock and/or assets of the Company and any direct or indirect successor by merger or consolidation or otherwise by operation of law) and (b) binding on and shall inure to the benefit of the heirs, personal representatives, executors and administrators of Indemnitee. This Agreement shall continue for the benefit of Indemnitee and such heirs, personal representatives, executors and administrators after Indemnitee has ceased to have Corporate Status.</w:t>
      </w:r>
    </w:p>
    <w:p>
      <w:pPr>
        <w:spacing w:after="0" w:line="180" w:lineRule="exact"/>
        <w:rPr>
          <w:rFonts w:ascii="Times New Roman" w:cs="Times New Roman" w:eastAsia="Times New Roman" w:hAnsi="Times New Roman"/>
          <w:sz w:val="18"/>
          <w:szCs w:val="18"/>
          <w:b w:val="1"/>
          <w:bCs w:val="1"/>
          <w:color w:val="auto"/>
        </w:rPr>
      </w:pPr>
    </w:p>
    <w:p>
      <w:pPr>
        <w:ind w:right="160" w:firstLine="8"/>
        <w:spacing w:after="0" w:line="243" w:lineRule="auto"/>
        <w:tabs>
          <w:tab w:leader="none" w:pos="27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Subrogation. </w:t>
      </w:r>
      <w:r>
        <w:rPr>
          <w:rFonts w:ascii="Times New Roman" w:cs="Times New Roman" w:eastAsia="Times New Roman" w:hAnsi="Times New Roman"/>
          <w:sz w:val="18"/>
          <w:szCs w:val="18"/>
          <w:color w:val="auto"/>
        </w:rPr>
        <w:t>In the event of any payment of Indemnifiable Amounts under this Agreement, the Company shall be subrogated to the extent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all of the rights of contribution or recovery of Indemnitee against other persons, and Indemnitee shall take, at the request of the Company, all reasonable action necessary to secure such rights, including the execution of such documents as are necessary to enable the Company to bring suit to enforce such rights. In no event, however, shall the Company or any other person have any right of recovery, through subrogation or otherwise, against (i) Indemnitee, (ii) the Fund Indemnitors, or (iii) any insurance policy purchased or maintained by Indemnitee or the Fund Indemnitors.</w:t>
      </w:r>
    </w:p>
    <w:p>
      <w:pPr>
        <w:sectPr>
          <w:pgSz w:w="11900" w:h="16838" w:orient="portrait"/>
          <w:cols w:equalWidth="0" w:num="1">
            <w:col w:w="11240"/>
          </w:cols>
          <w:pgMar w:left="320" w:top="1440" w:right="339" w:bottom="1440" w:gutter="0" w:footer="0" w:header="0"/>
        </w:sectPr>
      </w:pPr>
    </w:p>
    <w:bookmarkStart w:id="278" w:name="page279"/>
    <w:bookmarkEnd w:id="278"/>
    <w:p>
      <w:pPr>
        <w:ind w:right="20" w:firstLine="8"/>
        <w:spacing w:after="0" w:line="242" w:lineRule="auto"/>
        <w:tabs>
          <w:tab w:leader="none" w:pos="27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Law. </w:t>
      </w:r>
      <w:r>
        <w:rPr>
          <w:rFonts w:ascii="Times New Roman" w:cs="Times New Roman" w:eastAsia="Times New Roman" w:hAnsi="Times New Roman"/>
          <w:sz w:val="18"/>
          <w:szCs w:val="18"/>
          <w:color w:val="auto"/>
        </w:rPr>
        <w:t>To the extent that a change in Delaware law (whether by statute or judicial decision) shall permit broader indemnification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advancement of expenses than is provided under the terms of the by-laws of the Company and this Agreement, Indemnitee shall be entitled to such broader indemnification and advancements, and this Agreement shall be deemed to be amended to such extent. In the event of any change in Delaware law (whether by statute or judicial decision) which narrows the right of a Delaware corporation to indemnify a member of its Board of Directors, an officer, or other corporate agent, such changes, to the extent not otherwise required by applicable law to be applied to this Agreement, shall have no effect on this Agreement or the parties’ rights and obligations hereunder.</w:t>
      </w:r>
    </w:p>
    <w:p>
      <w:pPr>
        <w:spacing w:after="0" w:line="178" w:lineRule="exact"/>
        <w:rPr>
          <w:rFonts w:ascii="Times New Roman" w:cs="Times New Roman" w:eastAsia="Times New Roman" w:hAnsi="Times New Roman"/>
          <w:sz w:val="18"/>
          <w:szCs w:val="18"/>
          <w:b w:val="1"/>
          <w:bCs w:val="1"/>
          <w:color w:val="auto"/>
        </w:rPr>
      </w:pPr>
    </w:p>
    <w:p>
      <w:pPr>
        <w:ind w:right="60" w:firstLine="8"/>
        <w:spacing w:after="0" w:line="243" w:lineRule="auto"/>
        <w:tabs>
          <w:tab w:leader="none" w:pos="27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Whenever possible, each provision of this Agreement shall be interpreted in such a manner as to be effective and valid under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but if any provision of this Agreement, or any clause thereof, shall be determined by a court of competent jurisdiction to be illegal, invalid or unenforceable, in whole or in part, such provision or clause shall be limited or modified in its application to the minimum extent necessary to make such provision or clause valid, legal and enforceable, and the remaining provisions and clauses of this Agreement shall remain fully enforceable and binding on the parties.</w:t>
      </w:r>
    </w:p>
    <w:p>
      <w:pPr>
        <w:spacing w:after="0" w:line="180"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27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Indemnitee as Plaintiff. </w:t>
      </w:r>
      <w:r>
        <w:rPr>
          <w:rFonts w:ascii="Times New Roman" w:cs="Times New Roman" w:eastAsia="Times New Roman" w:hAnsi="Times New Roman"/>
          <w:sz w:val="18"/>
          <w:szCs w:val="18"/>
          <w:color w:val="auto"/>
        </w:rPr>
        <w:t>Except as provided in Section 11(c) of this Agreement and in the next sentence, Indemnitee shall not be entitled to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Amounts or advancement of Indemnifiable Expenses with respect to any Proceeding brought by Indemnitee consented to the initiation of such Proceeding. This Section shall not apply to counterclaims or affirmative defenses asserted by Indemnitee in an action brought against Indemnitee.</w:t>
      </w:r>
    </w:p>
    <w:p>
      <w:pPr>
        <w:spacing w:after="0" w:line="171" w:lineRule="exact"/>
        <w:rPr>
          <w:rFonts w:ascii="Times New Roman" w:cs="Times New Roman" w:eastAsia="Times New Roman" w:hAnsi="Times New Roman"/>
          <w:sz w:val="18"/>
          <w:szCs w:val="18"/>
          <w:b w:val="1"/>
          <w:bCs w:val="1"/>
          <w:color w:val="auto"/>
        </w:rPr>
      </w:pPr>
    </w:p>
    <w:p>
      <w:pPr>
        <w:ind w:right="20" w:firstLine="8"/>
        <w:spacing w:after="0" w:line="246" w:lineRule="auto"/>
        <w:tabs>
          <w:tab w:leader="none" w:pos="27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Modifications and Waiver. </w:t>
      </w:r>
      <w:r>
        <w:rPr>
          <w:rFonts w:ascii="Times New Roman" w:cs="Times New Roman" w:eastAsia="Times New Roman" w:hAnsi="Times New Roman"/>
          <w:sz w:val="18"/>
          <w:szCs w:val="18"/>
          <w:color w:val="auto"/>
        </w:rPr>
        <w:t>Except as provided in Section 17 above with respect to changes in Delaware law that broaden the right of Indemnitee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by the Company, no supplement, modification or amendment of this Agreement shall be binding unless executed in writing by each of the parties hereto. No waiver of any of the provisions of this Agreement shall be deemed or shall constitute a waiver of any other provisions of this Agreement (whether or not similar), nor shall such waiver constitute a continuing waiver.</w:t>
      </w:r>
    </w:p>
    <w:p>
      <w:pPr>
        <w:spacing w:after="0" w:line="177"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Notices. </w:t>
      </w:r>
      <w:r>
        <w:rPr>
          <w:rFonts w:ascii="Times New Roman" w:cs="Times New Roman" w:eastAsia="Times New Roman" w:hAnsi="Times New Roman"/>
          <w:sz w:val="18"/>
          <w:szCs w:val="18"/>
          <w:color w:val="auto"/>
        </w:rPr>
        <w:t>All notices, requests, demands and other communications hereunder shall be in writing and shall be deemed to have been duly given</w:t>
      </w:r>
    </w:p>
    <w:p>
      <w:pPr>
        <w:spacing w:after="0" w:line="19" w:lineRule="exact"/>
        <w:rPr>
          <w:rFonts w:ascii="Times New Roman" w:cs="Times New Roman" w:eastAsia="Times New Roman" w:hAnsi="Times New Roman"/>
          <w:sz w:val="18"/>
          <w:szCs w:val="18"/>
          <w:b w:val="1"/>
          <w:bCs w:val="1"/>
          <w:color w:val="auto"/>
        </w:rPr>
      </w:pPr>
    </w:p>
    <w:p>
      <w:pPr>
        <w:ind w:right="300"/>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when delivered by hand, (b) when transmitted by facsimile and receipt is acknowledged, or (c) if mailed by certified or registered mail with postage prepaid, on the third business day after the date on which it is so mailed:</w:t>
      </w:r>
    </w:p>
    <w:p>
      <w:pPr>
        <w:spacing w:after="0" w:line="74" w:lineRule="exact"/>
        <w:rPr>
          <w:sz w:val="20"/>
          <w:szCs w:val="20"/>
          <w:color w:val="auto"/>
        </w:rPr>
      </w:pPr>
    </w:p>
    <w:p>
      <w:pPr>
        <w:jc w:val="right"/>
        <w:ind w:right="8460"/>
        <w:spacing w:after="0"/>
        <w:rPr>
          <w:sz w:val="20"/>
          <w:szCs w:val="20"/>
          <w:color w:val="auto"/>
        </w:rPr>
      </w:pPr>
      <w:r>
        <w:rPr>
          <w:rFonts w:ascii="Times New Roman" w:cs="Times New Roman" w:eastAsia="Times New Roman" w:hAnsi="Times New Roman"/>
          <w:sz w:val="18"/>
          <w:szCs w:val="18"/>
          <w:color w:val="auto"/>
        </w:rPr>
        <w:t>If to Indemnitee, to:</w:t>
      </w:r>
    </w:p>
    <w:p>
      <w:pPr>
        <w:spacing w:after="0" w:line="104" w:lineRule="exact"/>
        <w:rPr>
          <w:sz w:val="20"/>
          <w:szCs w:val="20"/>
          <w:color w:val="auto"/>
        </w:rPr>
      </w:pPr>
    </w:p>
    <w:p>
      <w:pPr>
        <w:jc w:val="right"/>
        <w:ind w:right="8400"/>
        <w:spacing w:after="0"/>
        <w:rPr>
          <w:sz w:val="20"/>
          <w:szCs w:val="20"/>
          <w:color w:val="auto"/>
        </w:rPr>
      </w:pPr>
      <w:r>
        <w:rPr>
          <w:rFonts w:ascii="Times New Roman" w:cs="Times New Roman" w:eastAsia="Times New Roman" w:hAnsi="Times New Roman"/>
          <w:sz w:val="18"/>
          <w:szCs w:val="18"/>
          <w:color w:val="auto"/>
        </w:rPr>
        <w:t>[________]</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GAIN Capital Holdings, Inc.</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550 Hills Drive, Suite 210</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Bedminster, New Jersey 07921</w:t>
      </w:r>
    </w:p>
    <w:p>
      <w:pPr>
        <w:spacing w:after="0" w:line="1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in the same manner by any party to the others.</w:t>
      </w:r>
    </w:p>
    <w:p>
      <w:pPr>
        <w:spacing w:after="0" w:line="208" w:lineRule="exact"/>
        <w:rPr>
          <w:sz w:val="20"/>
          <w:szCs w:val="20"/>
          <w:color w:val="auto"/>
        </w:rPr>
      </w:pPr>
    </w:p>
    <w:p>
      <w:pPr>
        <w:ind w:right="20" w:firstLine="8"/>
        <w:spacing w:after="0" w:line="271" w:lineRule="auto"/>
        <w:tabs>
          <w:tab w:leader="none" w:pos="27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and enforced under the laws of the State of Delaware without giving effect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relating to conflicts of law.</w:t>
      </w:r>
    </w:p>
    <w:p>
      <w:pPr>
        <w:spacing w:after="0" w:line="153" w:lineRule="exact"/>
        <w:rPr>
          <w:rFonts w:ascii="Times New Roman" w:cs="Times New Roman" w:eastAsia="Times New Roman" w:hAnsi="Times New Roman"/>
          <w:sz w:val="18"/>
          <w:szCs w:val="18"/>
          <w:b w:val="1"/>
          <w:bCs w:val="1"/>
          <w:color w:val="auto"/>
        </w:rPr>
      </w:pPr>
    </w:p>
    <w:p>
      <w:pPr>
        <w:ind w:firstLine="8"/>
        <w:spacing w:after="0" w:line="271" w:lineRule="auto"/>
        <w:tabs>
          <w:tab w:leader="none" w:pos="27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but both of which together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instrument.</w:t>
      </w:r>
    </w:p>
    <w:p>
      <w:pPr>
        <w:spacing w:after="0" w:line="153" w:lineRule="exact"/>
        <w:rPr>
          <w:rFonts w:ascii="Times New Roman" w:cs="Times New Roman" w:eastAsia="Times New Roman" w:hAnsi="Times New Roman"/>
          <w:sz w:val="18"/>
          <w:szCs w:val="18"/>
          <w:b w:val="1"/>
          <w:bCs w:val="1"/>
          <w:color w:val="auto"/>
        </w:rPr>
      </w:pPr>
    </w:p>
    <w:p>
      <w:pPr>
        <w:ind w:right="40" w:firstLine="8"/>
        <w:spacing w:after="0"/>
        <w:tabs>
          <w:tab w:leader="none" w:pos="27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Primacy of Indemnification. </w:t>
      </w:r>
      <w:r>
        <w:rPr>
          <w:rFonts w:ascii="Times New Roman" w:cs="Times New Roman" w:eastAsia="Times New Roman" w:hAnsi="Times New Roman"/>
          <w:sz w:val="18"/>
          <w:szCs w:val="18"/>
          <w:color w:val="auto"/>
        </w:rPr>
        <w:t>The Company hereby acknowledges that Indemnitee has certain rights to indemnification, 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insurance provided by investment funds managed by entities referred to as “[___]” and their affiliates (collectively, the “Fund Indemnitors”). The Company hereby agrees that it is the indemnitor of first resort (i.e., its obligations to Indemnitee are primary and any obligation of the Fund Indemnitors to advance expenses or to provide indemnification for the same expenses or liabilities incurred by Indemnitee are secondary), and that the Company will not assert that the Indemnitee must seek expense advancement or reimbursement, or indemnification, from any Fund Indemnitor before the Company must perform its expense advancement and reimbursement, and indemnification obligations, under this Agreement. No advancement or payment by the Fund Indemnitors on behalf of Indemnitee with respect to any claim for which</w:t>
      </w:r>
    </w:p>
    <w:p>
      <w:pPr>
        <w:sectPr>
          <w:pgSz w:w="11900" w:h="16838" w:orient="portrait"/>
          <w:cols w:equalWidth="0" w:num="1">
            <w:col w:w="11200"/>
          </w:cols>
          <w:pgMar w:left="320" w:top="887" w:right="379" w:bottom="1440" w:gutter="0" w:footer="0" w:header="0"/>
        </w:sectPr>
      </w:pPr>
    </w:p>
    <w:bookmarkStart w:id="279" w:name="page280"/>
    <w:bookmarkEnd w:id="279"/>
    <w:p>
      <w:pPr>
        <w:spacing w:after="0" w:line="241" w:lineRule="auto"/>
        <w:rPr>
          <w:sz w:val="20"/>
          <w:szCs w:val="20"/>
          <w:color w:val="auto"/>
        </w:rPr>
      </w:pPr>
      <w:r>
        <w:rPr>
          <w:rFonts w:ascii="Times New Roman" w:cs="Times New Roman" w:eastAsia="Times New Roman" w:hAnsi="Times New Roman"/>
          <w:sz w:val="18"/>
          <w:szCs w:val="18"/>
          <w:color w:val="auto"/>
        </w:rPr>
        <w:t>Indemnitee has sought indemnification from the Company shall affect the foregoing. The Fund Indemnitors shall be subrogated to the extent of such advancement or payment to all of the rights of recovery which Indemnitee would have had against the Company if the Fund Indemnitors had not advanced or paid any amount to or on behalf of Indemnitee. If for any reason the a court of competent jurisdiction determines that the Fund Indemnitors are not entitled to the subrogation rights described in the preceding sentence, the Fund Indemnitors shall have a right of contribution by the Company to the Fund Indemnitors with respect to any advance or payment by the Fund Indemnitors to or on behalf of the Indemnitee. The Company and Indemnitee agree that each Fund Indemnitor is a third party beneficiary of this Agreement.</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[END OF TEXT]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37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GAIN CAPITAL HOLDINGS, INC.</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88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Glenn Stevens</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5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180340</wp:posOffset>
            </wp:positionV>
            <wp:extent cx="2588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 Page to Director Indemnification Agreement]</w:t>
      </w:r>
    </w:p>
    <w:p>
      <w:pPr>
        <w:sectPr>
          <w:pgSz w:w="11900" w:h="16838" w:orient="portrait"/>
          <w:cols w:equalWidth="0" w:num="1">
            <w:col w:w="11160"/>
          </w:cols>
          <w:pgMar w:left="320" w:top="891" w:right="41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28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Coininvest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 Precious Metal Trading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FCC Futures,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Commodity Services (Europe)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do Brasil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Group,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Merchant Services,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Paraguay S.R.L.</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Paraguay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Australia Pty.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Europe,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Cyprus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Canada,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Cyprus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Cyprus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Hong Kong,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Group,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International,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Japan Co.,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Poland sp z.o.o.</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Singapore Pte.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Technology Consulting Hong Kong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UK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Bermuda,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Bermuda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GTX,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Holdings,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Gainvest Asset Management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GCAM,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Asset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Futures &amp; Forex,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GTX SEF,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Capital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CIBSA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Banco de Cambio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(BVI)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Commodities DMCC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Dubai, United Arab Emirates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de Mexico, S. de R.L. de C.V.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DTVM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Financial (Canada)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Columbia, Canada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Payments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Pty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(Shanghai) Trading Co.,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Technology Services Private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Fillmore Advisors Canada, ULC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Columbia, Canada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Fillmore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Gainvest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Netherlands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Pagos S.A.U.</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Participacoes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Island Traders (Cayman),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bl>
    <w:p>
      <w:pPr>
        <w:sectPr>
          <w:pgSz w:w="11900" w:h="16838" w:orient="portrait"/>
          <w:cols w:equalWidth="0" w:num="1">
            <w:col w:w="11240"/>
          </w:cols>
          <w:pgMar w:left="320" w:top="887" w:right="33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Exhibit 21 (continued)</w:t>
            </w:r>
          </w:p>
        </w:tc>
      </w:tr>
      <w:tr>
        <w:trPr>
          <w:trHeight w:val="195"/>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09"/>
        </w:trPr>
        <w:tc>
          <w:tcPr>
            <w:tcW w:w="7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 Rao Network Technology Co. Ltd.</w:t>
            </w:r>
          </w:p>
        </w:tc>
        <w:tc>
          <w:tcPr>
            <w:tcW w:w="44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 Stone Investment Advisors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 Stone Wealth Management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Agency Services Limited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Nigeria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APAC Pte.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Bullion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Credit Trading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Europe S.A.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GmbH</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(HK)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Nigeria Limited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Nigeria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Pte.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Markets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(Netherlands) B.V.</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Technology Services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 Third AG Marketing,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Facts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England</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Westown Commodities,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bl>
    <w:p>
      <w:pPr>
        <w:sectPr>
          <w:pgSz w:w="11900" w:h="16838" w:orient="portrait"/>
          <w:cols w:equalWidth="0" w:num="1">
            <w:col w:w="11240"/>
          </w:cols>
          <w:pgMar w:left="320" w:top="1022"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200" w:lineRule="exact"/>
        <w:rPr>
          <w:sz w:val="20"/>
          <w:szCs w:val="20"/>
          <w:color w:val="auto"/>
        </w:rPr>
      </w:pPr>
    </w:p>
    <w:p>
      <w:pPr>
        <w:spacing w:after="0" w:line="289"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117544, 333-137992, 333-144719, 333-152461, 333-186704, 333-209912, and 333-231301 on Form S-3 and Nos. 333-108332, 333-142262, 333-196413, 333-197773, 333-216538, and 333-229807 on Form S-8) of StoneX Group Inc. of our reports dated December 14, 2020, with respect to the consolidated balance sheets of StoneX Group Inc. and subsidiaries (the Company) as of September 30, 2020 and 2019, the related consolidated income statements, consolidated statements of comprehensive income, consolidated statements of cash flows, and consolidated statements of stockholders’ equity, for each of the years in the three-year period ended September 30, 2020, and the related notes and financial statement schedule, and the effectiveness of internal control over financial reporting as of September 30, 2020, which reports appear in the September 30, 2020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StoneX Group Inc.</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report dated December 14, 2020, on the effectiveness of internal control over financial reporting as of September 30, 2020, contains an explanatory paragraph that states management’s assessment of the effectiveness of the Company’s internal control over financial reporting as of September 30, 2020 excluded the futures and options brokerage and clearing business of UOB Bullion and Futures Limited, acquired with effect from October 7, 2019; IFCM Commodities GmbH, acquired with effect from January 2, 2020; Exotix Partners, LLP, acquired with effect from April 1, 2020; GIROXX GmbH, acquired with effect from May 1, 2020; Tellimer Capital Ltd, acquired with effect from June 1, 2020; and Gain Capital Holdings, Inc., acquired with effect from July 30, 2020. Our audit of internal control over financial reporting of the Company also excluded an evaluation of the internal control over financial reporting of the futures and options brokerage and clearing business of UOB Bullion and Futures Limited, IFCM Commodities GmbH, Exotix Partners, LLP, GIROXX GmbH, Tellimer Capital Ltd, and Gain Capital Holdings, Inc.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ectPr>
          <w:pgSz w:w="11900" w:h="16838" w:orient="portrait"/>
          <w:cols w:equalWidth="0" w:num="1">
            <w:col w:w="11240"/>
          </w:cols>
          <w:pgMar w:left="320" w:top="887"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M. O’Connor, certify that:</w:t>
      </w:r>
    </w:p>
    <w:p>
      <w:pPr>
        <w:spacing w:after="0" w:line="171" w:lineRule="exact"/>
        <w:rPr>
          <w:sz w:val="20"/>
          <w:szCs w:val="20"/>
          <w:color w:val="auto"/>
        </w:rPr>
      </w:pPr>
    </w:p>
    <w:p>
      <w:pPr>
        <w:ind w:left="820" w:hanging="326"/>
        <w:spacing w:after="0"/>
        <w:tabs>
          <w:tab w:leader="none" w:pos="8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StoneX Group Inc.;</w:t>
      </w:r>
    </w:p>
    <w:p>
      <w:pPr>
        <w:spacing w:after="0" w:line="171"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hanging="326"/>
        <w:spacing w:after="0" w:line="266" w:lineRule="auto"/>
        <w:tabs>
          <w:tab w:leader="none" w:pos="8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2" w:lineRule="exact"/>
        <w:rPr>
          <w:sz w:val="20"/>
          <w:szCs w:val="20"/>
          <w:color w:val="auto"/>
        </w:rPr>
      </w:pPr>
    </w:p>
    <w:p>
      <w:pPr>
        <w:ind w:left="1060" w:right="160" w:hanging="242"/>
        <w:spacing w:after="0" w:line="266" w:lineRule="auto"/>
        <w:tabs>
          <w:tab w:leader="none" w:pos="1057"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060" w:right="280" w:hanging="242"/>
        <w:spacing w:after="0" w:line="266" w:lineRule="auto"/>
        <w:tabs>
          <w:tab w:leader="none" w:pos="105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060" w:right="460" w:hanging="242"/>
        <w:spacing w:after="0" w:line="312" w:lineRule="auto"/>
        <w:tabs>
          <w:tab w:leader="none" w:pos="1057"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jc w:val="both"/>
        <w:ind w:left="1060" w:hanging="242"/>
        <w:spacing w:after="0" w:line="266" w:lineRule="auto"/>
        <w:tabs>
          <w:tab w:leader="none" w:pos="105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060" w:right="700" w:hanging="242"/>
        <w:spacing w:after="0" w:line="282" w:lineRule="auto"/>
        <w:tabs>
          <w:tab w:leader="none" w:pos="105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60" w:right="400" w:hanging="242"/>
        <w:spacing w:after="0" w:line="282" w:lineRule="auto"/>
        <w:tabs>
          <w:tab w:leader="none" w:pos="105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 O’Connor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StoneX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40" w:lineRule="exact"/>
        <w:rPr>
          <w:rFonts w:ascii="Times New Roman" w:cs="Times New Roman" w:eastAsia="Times New Roman" w:hAnsi="Times New Roman"/>
          <w:sz w:val="18"/>
          <w:szCs w:val="18"/>
          <w:color w:val="auto"/>
        </w:rPr>
      </w:pPr>
    </w:p>
    <w:p>
      <w:pPr>
        <w:ind w:left="900" w:right="80" w:hanging="199"/>
        <w:spacing w:after="0" w:line="266" w:lineRule="auto"/>
        <w:tabs>
          <w:tab w:leader="none" w:pos="94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91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902"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60" w:hanging="244"/>
        <w:spacing w:after="0" w:line="266" w:lineRule="auto"/>
        <w:tabs>
          <w:tab w:leader="none" w:pos="91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StoneX Group Inc. (the Company) on Form 10-K for the period ended September 30, 2020 as filed with the Securities and Exchange Commission on the date hereof (the Report), I, Sean M. O’Connor,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80" w:hanging="367"/>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60" w:firstLine="413"/>
        <w:spacing w:after="0" w:line="470" w:lineRule="auto"/>
        <w:tabs>
          <w:tab w:leader="none" w:pos="72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December 14, 2020</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 O’Connor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StoneX Group Inc. (the Company) on Form 10-K for the period ended September 30, 2020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00" w:hanging="368"/>
        <w:spacing w:after="0"/>
        <w:tabs>
          <w:tab w:leader="none" w:pos="7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December 14, 2020</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1)"/>
      <w:numFmt w:val="decimal"/>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1)"/>
      <w:numFmt w:val="decimal"/>
      <w:start w:val="1"/>
    </w:lvl>
  </w:abstractNum>
  <w:abstractNum w:abstractNumId="26">
    <w:nsid w:val="45E6D486"/>
    <w:multiLevelType w:val="hybridMultilevel"/>
    <w:lvl w:ilvl="0">
      <w:lvlJc w:val="left"/>
      <w:lvlText w:val="&amp;"/>
      <w:numFmt w:val="bullet"/>
      <w:start w:val="1"/>
    </w:lvl>
  </w:abstractNum>
  <w:abstractNum w:abstractNumId="27">
    <w:nsid w:val="5C10FE21"/>
    <w:multiLevelType w:val="hybridMultilevel"/>
    <w:lvl w:ilvl="0">
      <w:lvlJc w:val="left"/>
      <w:lvlText w:val="(%1)"/>
      <w:numFmt w:val="decimal"/>
      <w:start w:val="1"/>
    </w:lvl>
  </w:abstractNum>
  <w:abstractNum w:abstractNumId="28">
    <w:nsid w:val="E7FFA2B"/>
    <w:multiLevelType w:val="hybridMultilevel"/>
    <w:lvl w:ilvl="0">
      <w:lvlJc w:val="left"/>
      <w:lvlText w:val="(%1)"/>
      <w:numFmt w:val="decimal"/>
      <w:start w:val="1"/>
    </w:lvl>
  </w:abstractNum>
  <w:abstractNum w:abstractNumId="29">
    <w:nsid w:val="3C5991AA"/>
    <w:multiLevelType w:val="hybridMultilevel"/>
    <w:lvl w:ilvl="0">
      <w:lvlJc w:val="left"/>
      <w:lvlText w:val="(%1)"/>
      <w:numFmt w:val="decimal"/>
      <w:start w:val="1"/>
    </w:lvl>
  </w:abstractNum>
  <w:abstractNum w:abstractNumId="30">
    <w:nsid w:val="4BD8591A"/>
    <w:multiLevelType w:val="hybridMultilevel"/>
    <w:lvl w:ilvl="0">
      <w:lvlJc w:val="left"/>
      <w:lvlText w:val="(%1)"/>
      <w:numFmt w:val="decimal"/>
      <w:start w:val="1"/>
    </w:lvl>
  </w:abstractNum>
  <w:abstractNum w:abstractNumId="31">
    <w:nsid w:val="78DF6A55"/>
    <w:multiLevelType w:val="hybridMultilevel"/>
    <w:lvl w:ilvl="0">
      <w:lvlJc w:val="left"/>
      <w:lvlText w:val="(%1)"/>
      <w:numFmt w:val="lowerLetter"/>
      <w:start w:val="25"/>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1)"/>
      <w:numFmt w:val="decimal"/>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1)"/>
      <w:numFmt w:val="decimal"/>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1)"/>
      <w:numFmt w:val="decimal"/>
      <w:start w:val="1"/>
    </w:lvl>
  </w:abstractNum>
  <w:abstractNum w:abstractNumId="39">
    <w:nsid w:val="6AA7B75C"/>
    <w:multiLevelType w:val="hybridMultilevel"/>
    <w:lvl w:ilvl="0">
      <w:lvlJc w:val="left"/>
      <w:lvlText w:val="(%1)"/>
      <w:numFmt w:val="decimal"/>
      <w:start w:val="1"/>
    </w:lvl>
  </w:abstractNum>
  <w:abstractNum w:abstractNumId="40">
    <w:nsid w:val="1DF029D3"/>
    <w:multiLevelType w:val="hybridMultilevel"/>
    <w:lvl w:ilvl="0">
      <w:lvlJc w:val="left"/>
      <w:lvlText w:val="(%1)"/>
      <w:numFmt w:val="decimal"/>
      <w:start w:val="1"/>
    </w:lvl>
  </w:abstractNum>
  <w:abstractNum w:abstractNumId="41">
    <w:nsid w:val="5675FF36"/>
    <w:multiLevelType w:val="hybridMultilevel"/>
    <w:lvl w:ilvl="0">
      <w:lvlJc w:val="left"/>
      <w:lvlText w:val="(%1)"/>
      <w:numFmt w:val="decimal"/>
      <w:start w:val="1"/>
    </w:lvl>
  </w:abstractNum>
  <w:abstractNum w:abstractNumId="42">
    <w:nsid w:val="3DD15094"/>
    <w:multiLevelType w:val="hybridMultilevel"/>
    <w:lvl w:ilvl="0">
      <w:lvlJc w:val="left"/>
      <w:lvlText w:val="(%1)"/>
      <w:numFmt w:val="decimal"/>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1)"/>
      <w:numFmt w:val="decimal"/>
      <w:start w:val="1"/>
    </w:lvl>
  </w:abstractNum>
  <w:abstractNum w:abstractNumId="48">
    <w:nsid w:val="53B0A9E"/>
    <w:multiLevelType w:val="hybridMultilevel"/>
    <w:lvl w:ilvl="0">
      <w:lvlJc w:val="left"/>
      <w:lvlText w:val="(%1)"/>
      <w:numFmt w:val="decimal"/>
      <w:start w:val="1"/>
    </w:lvl>
  </w:abstractNum>
  <w:abstractNum w:abstractNumId="49">
    <w:nsid w:val="34FD6B4F"/>
    <w:multiLevelType w:val="hybridMultilevel"/>
    <w:lvl w:ilvl="0">
      <w:lvlJc w:val="left"/>
      <w:lvlText w:val="(%1)"/>
      <w:numFmt w:val="decimal"/>
      <w:start w:val="1"/>
    </w:lvl>
  </w:abstractNum>
  <w:abstractNum w:abstractNumId="50">
    <w:nsid w:val="5915FF32"/>
    <w:multiLevelType w:val="hybridMultilevel"/>
    <w:lvl w:ilvl="0">
      <w:lvlJc w:val="left"/>
      <w:lvlText w:val="(%1)"/>
      <w:numFmt w:val="decimal"/>
      <w:start w:val="1"/>
    </w:lvl>
  </w:abstractNum>
  <w:abstractNum w:abstractNumId="51">
    <w:nsid w:val="56438D15"/>
    <w:multiLevelType w:val="hybridMultilevel"/>
    <w:lvl w:ilvl="0">
      <w:lvlJc w:val="left"/>
      <w:lvlText w:val="(%1)"/>
      <w:numFmt w:val="decimal"/>
      <w:start w:val="1"/>
    </w:lvl>
  </w:abstractNum>
  <w:abstractNum w:abstractNumId="52">
    <w:nsid w:val="519E3149"/>
    <w:multiLevelType w:val="hybridMultilevel"/>
    <w:lvl w:ilvl="0">
      <w:lvlJc w:val="left"/>
      <w:lvlText w:val="(%1)"/>
      <w:numFmt w:val="decimal"/>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1)"/>
      <w:numFmt w:val="decimal"/>
      <w:start w:val="1"/>
    </w:lvl>
  </w:abstractNum>
  <w:abstractNum w:abstractNumId="55">
    <w:nsid w:val="4DF72E4E"/>
    <w:multiLevelType w:val="hybridMultilevel"/>
    <w:lvl w:ilvl="0">
      <w:lvlJc w:val="left"/>
      <w:lvlText w:val="(%1)"/>
      <w:numFmt w:val="decimal"/>
      <w:start w:val="1"/>
    </w:lvl>
  </w:abstractNum>
  <w:abstractNum w:abstractNumId="56">
    <w:nsid w:val="5046B5A9"/>
    <w:multiLevelType w:val="hybridMultilevel"/>
    <w:lvl w:ilvl="0">
      <w:lvlJc w:val="left"/>
      <w:lvlText w:val="(%1)"/>
      <w:numFmt w:val="decimal"/>
      <w:start w:val="1"/>
    </w:lvl>
  </w:abstractNum>
  <w:abstractNum w:abstractNumId="57">
    <w:nsid w:val="5D888A08"/>
    <w:multiLevelType w:val="hybridMultilevel"/>
    <w:lvl w:ilvl="0">
      <w:lvlJc w:val="left"/>
      <w:lvlText w:val="(%1)"/>
      <w:numFmt w:val="decimal"/>
      <w:start w:val="2"/>
    </w:lvl>
  </w:abstractNum>
  <w:abstractNum w:abstractNumId="58">
    <w:nsid w:val="2A082C70"/>
    <w:multiLevelType w:val="hybridMultilevel"/>
    <w:lvl w:ilvl="0">
      <w:lvlJc w:val="left"/>
      <w:lvlText w:val="%1"/>
      <w:numFmt w:val="decimal"/>
      <w:start w:val="14"/>
    </w:lvl>
  </w:abstractNum>
  <w:abstractNum w:abstractNumId="59">
    <w:nsid w:val="5EC6AFD4"/>
    <w:multiLevelType w:val="hybridMultilevel"/>
    <w:lvl w:ilvl="0">
      <w:lvlJc w:val="left"/>
      <w:lvlText w:val="%1"/>
      <w:numFmt w:val="decimal"/>
      <w:start w:val="21"/>
    </w:lvl>
  </w:abstractNum>
  <w:abstractNum w:abstractNumId="60">
    <w:nsid w:val="19E21BB2"/>
    <w:multiLevelType w:val="hybridMultilevel"/>
    <w:lvl w:ilvl="0">
      <w:lvlJc w:val="left"/>
      <w:lvlText w:val="•"/>
      <w:numFmt w:val="bullet"/>
      <w:start w:val="1"/>
    </w:lvl>
  </w:abstractNum>
  <w:abstractNum w:abstractNumId="61">
    <w:nsid w:val="75E0858A"/>
    <w:multiLevelType w:val="hybridMultilevel"/>
    <w:lvl w:ilvl="0">
      <w:lvlJc w:val="left"/>
      <w:lvlText w:val="(%1)"/>
      <w:numFmt w:val="lowerLetter"/>
      <w:start w:val="1"/>
    </w:lvl>
  </w:abstractNum>
  <w:abstractNum w:abstractNumId="62">
    <w:nsid w:val="57A61A29"/>
    <w:multiLevelType w:val="hybridMultilevel"/>
    <w:lvl w:ilvl="0">
      <w:lvlJc w:val="left"/>
      <w:lvlText w:val="(%1)"/>
      <w:numFmt w:val="decimal"/>
      <w:start w:val="1"/>
    </w:lvl>
  </w:abstractNum>
  <w:abstractNum w:abstractNumId="63">
    <w:nsid w:val="5399C654"/>
    <w:multiLevelType w:val="hybridMultilevel"/>
    <w:lvl w:ilvl="0">
      <w:lvlJc w:val="left"/>
      <w:lvlText w:val="%1"/>
      <w:numFmt w:val="lowerRoman"/>
      <w:start w:val="1"/>
    </w:lvl>
    <w:lvl w:ilvl="1">
      <w:lvlJc w:val="left"/>
      <w:lvlText w:val="(%2)"/>
      <w:numFmt w:val="decimal"/>
      <w:start w:val="2"/>
    </w:lvl>
  </w:abstractNum>
  <w:abstractNum w:abstractNumId="64">
    <w:nsid w:val="20EE1348"/>
    <w:multiLevelType w:val="hybridMultilevel"/>
    <w:lvl w:ilvl="0">
      <w:lvlJc w:val="left"/>
      <w:lvlText w:val="(%1)"/>
      <w:numFmt w:val="lowerRoman"/>
      <w:start w:val="5"/>
    </w:lvl>
    <w:lvl w:ilvl="1">
      <w:lvlJc w:val="left"/>
      <w:lvlText w:val="(%2)"/>
      <w:numFmt w:val="decimal"/>
      <w:start w:val="3"/>
    </w:lvl>
  </w:abstractNum>
  <w:abstractNum w:abstractNumId="65">
    <w:nsid w:val="4427069A"/>
    <w:multiLevelType w:val="hybridMultilevel"/>
    <w:lvl w:ilvl="0">
      <w:lvlJc w:val="left"/>
      <w:lvlText w:val="(%1)"/>
      <w:numFmt w:val="decimal"/>
      <w:start w:val="4"/>
    </w:lvl>
  </w:abstractNum>
  <w:abstractNum w:abstractNumId="66">
    <w:nsid w:val="B37E80A"/>
    <w:multiLevelType w:val="hybridMultilevel"/>
    <w:lvl w:ilvl="0">
      <w:lvlJc w:val="left"/>
      <w:lvlText w:val="(%1)"/>
      <w:numFmt w:val="decimal"/>
      <w:start w:val="5"/>
    </w:lvl>
  </w:abstractNum>
  <w:abstractNum w:abstractNumId="67">
    <w:nsid w:val="2157F6BC"/>
    <w:multiLevelType w:val="hybridMultilevel"/>
    <w:lvl w:ilvl="0">
      <w:lvlJc w:val="left"/>
      <w:lvlText w:val="(%1)"/>
      <w:numFmt w:val="decimal"/>
      <w:start w:val="6"/>
    </w:lvl>
  </w:abstractNum>
  <w:abstractNum w:abstractNumId="68">
    <w:nsid w:val="704E1DD5"/>
    <w:multiLevelType w:val="hybridMultilevel"/>
    <w:lvl w:ilvl="0">
      <w:lvlJc w:val="left"/>
      <w:lvlText w:val="(%1)"/>
      <w:numFmt w:val="decimal"/>
      <w:start w:val="2"/>
    </w:lvl>
  </w:abstractNum>
  <w:abstractNum w:abstractNumId="69">
    <w:nsid w:val="57D2F10E"/>
    <w:multiLevelType w:val="hybridMultilevel"/>
    <w:lvl w:ilvl="0">
      <w:lvlJc w:val="left"/>
      <w:lvlText w:val="(%1)"/>
      <w:numFmt w:val="decimal"/>
      <w:start w:val="1"/>
    </w:lvl>
  </w:abstractNum>
  <w:abstractNum w:abstractNumId="70">
    <w:nsid w:val="BFFAE18"/>
    <w:multiLevelType w:val="hybridMultilevel"/>
    <w:lvl w:ilvl="0">
      <w:lvlJc w:val="left"/>
      <w:lvlText w:val="(%1)"/>
      <w:numFmt w:val="decimal"/>
      <w:start w:val="1"/>
    </w:lvl>
  </w:abstractNum>
  <w:abstractNum w:abstractNumId="71">
    <w:nsid w:val="E3E47A8"/>
    <w:multiLevelType w:val="hybridMultilevel"/>
    <w:lvl w:ilvl="0">
      <w:lvlJc w:val="left"/>
      <w:lvlText w:val="(%1)"/>
      <w:numFmt w:val="decimal"/>
      <w:start w:val="5"/>
    </w:lvl>
  </w:abstractNum>
  <w:abstractNum w:abstractNumId="72">
    <w:nsid w:val="2E48F044"/>
    <w:multiLevelType w:val="hybridMultilevel"/>
    <w:lvl w:ilvl="0">
      <w:lvlJc w:val="left"/>
      <w:lvlText w:val="(%1)"/>
      <w:numFmt w:val="decimal"/>
      <w:start w:val="1"/>
    </w:lvl>
  </w:abstractNum>
  <w:abstractNum w:abstractNumId="73">
    <w:nsid w:val="49D0FEAC"/>
    <w:multiLevelType w:val="hybridMultilevel"/>
    <w:lvl w:ilvl="0">
      <w:lvlJc w:val="left"/>
      <w:lvlText w:val="(%1)"/>
      <w:numFmt w:val="decimal"/>
      <w:start w:val="3"/>
    </w:lvl>
    <w:lvl w:ilvl="1">
      <w:lvlJc w:val="left"/>
      <w:lvlText w:val="(%2)"/>
      <w:numFmt w:val="lowerLetter"/>
      <w:start w:val="1"/>
    </w:lvl>
  </w:abstractNum>
  <w:abstractNum w:abstractNumId="74">
    <w:nsid w:val="4BEE5A5B"/>
    <w:multiLevelType w:val="hybridMultilevel"/>
    <w:lvl w:ilvl="0">
      <w:lvlJc w:val="left"/>
      <w:lvlText w:val="(%1)"/>
      <w:numFmt w:val="decimal"/>
      <w:start w:val="5"/>
    </w:lvl>
  </w:abstractNum>
  <w:abstractNum w:abstractNumId="75">
    <w:nsid w:val="5551B9F3"/>
    <w:multiLevelType w:val="hybridMultilevel"/>
    <w:lvl w:ilvl="0">
      <w:lvlJc w:val="left"/>
      <w:lvlText w:val="(%1)"/>
      <w:numFmt w:val="lowerRoman"/>
      <w:start w:val="1"/>
    </w:lvl>
  </w:abstractNum>
  <w:abstractNum w:abstractNumId="76">
    <w:nsid w:val="24F6AB8E"/>
    <w:multiLevelType w:val="hybridMultilevel"/>
    <w:lvl w:ilvl="0">
      <w:lvlJc w:val="left"/>
      <w:lvlText w:val="(%1)"/>
      <w:numFmt w:val="lowerLetter"/>
      <w:start w:val="2"/>
    </w:lvl>
  </w:abstractNum>
  <w:abstractNum w:abstractNumId="77">
    <w:nsid w:val="634C574C"/>
    <w:multiLevelType w:val="hybridMultilevel"/>
    <w:lvl w:ilvl="0">
      <w:lvlJc w:val="left"/>
      <w:lvlText w:val="(%1)"/>
      <w:numFmt w:val="lowerRoman"/>
      <w:start w:val="1"/>
    </w:lvl>
  </w:abstractNum>
  <w:abstractNum w:abstractNumId="78">
    <w:nsid w:val="24E99DD7"/>
    <w:multiLevelType w:val="hybridMultilevel"/>
    <w:lvl w:ilvl="0">
      <w:lvlJc w:val="left"/>
      <w:lvlText w:val="(%1)"/>
      <w:numFmt w:val="lowerRoman"/>
      <w:start w:val="4"/>
    </w:lvl>
  </w:abstractNum>
  <w:abstractNum w:abstractNumId="79">
    <w:nsid w:val="2A31B62D"/>
    <w:multiLevelType w:val="hybridMultilevel"/>
    <w:lvl w:ilvl="0">
      <w:lvlJc w:val="left"/>
      <w:lvlText w:val="(%1)"/>
      <w:numFmt w:val="decimal"/>
      <w:start w:val="1"/>
    </w:lvl>
  </w:abstractNum>
  <w:abstractNum w:abstractNumId="80">
    <w:nsid w:val="1849C29B"/>
    <w:multiLevelType w:val="hybridMultilevel"/>
    <w:lvl w:ilvl="0">
      <w:lvlJc w:val="left"/>
      <w:lvlText w:val="(%1)"/>
      <w:numFmt w:val="decimal"/>
      <w:start w:val="2"/>
    </w:lvl>
  </w:abstractNum>
  <w:abstractNum w:abstractNumId="81">
    <w:nsid w:val="7DFF9D09"/>
    <w:multiLevelType w:val="hybridMultilevel"/>
    <w:lvl w:ilvl="0">
      <w:lvlJc w:val="left"/>
      <w:lvlText w:val="%1."/>
      <w:numFmt w:val="decimal"/>
      <w:start w:val="1"/>
    </w:lvl>
  </w:abstractNum>
  <w:abstractNum w:abstractNumId="82">
    <w:nsid w:val="754342"/>
    <w:multiLevelType w:val="hybridMultilevel"/>
    <w:lvl w:ilvl="0">
      <w:lvlJc w:val="left"/>
      <w:lvlText w:val="(%1)"/>
      <w:numFmt w:val="lowerLetter"/>
      <w:start w:val="1"/>
    </w:lvl>
  </w:abstractNum>
  <w:abstractNum w:abstractNumId="83">
    <w:nsid w:val="69E7F3E5"/>
    <w:multiLevelType w:val="hybridMultilevel"/>
    <w:lvl w:ilvl="0">
      <w:lvlJc w:val="left"/>
      <w:lvlText w:val="%1"/>
      <w:numFmt w:val="upperLetter"/>
      <w:start w:val="1"/>
    </w:lvl>
    <w:lvl w:ilvl="1">
      <w:lvlJc w:val="left"/>
      <w:lvlText w:val="(%2)"/>
      <w:numFmt w:val="lowerLetter"/>
      <w:start w:val="5"/>
    </w:lvl>
  </w:abstractNum>
  <w:abstractNum w:abstractNumId="84">
    <w:nsid w:val="2A6DE806"/>
    <w:multiLevelType w:val="hybridMultilevel"/>
    <w:lvl w:ilvl="0">
      <w:lvlJc w:val="left"/>
      <w:lvlText w:val="%1"/>
      <w:numFmt w:val="lowerLetter"/>
      <w:start w:val="1"/>
    </w:lvl>
    <w:lvl w:ilvl="1">
      <w:lvlJc w:val="left"/>
      <w:lvlText w:val="(%2)"/>
      <w:numFmt w:val="lowerLetter"/>
      <w:start w:val="11"/>
    </w:lvl>
  </w:abstractNum>
  <w:abstractNum w:abstractNumId="85">
    <w:nsid w:val="1816F8C4"/>
    <w:multiLevelType w:val="hybridMultilevel"/>
    <w:lvl w:ilvl="0">
      <w:lvlJc w:val="left"/>
      <w:lvlText w:val="(%1)"/>
      <w:numFmt w:val="lowerLetter"/>
      <w:start w:val="14"/>
    </w:lvl>
    <w:lvl w:ilvl="1">
      <w:lvlJc w:val="left"/>
      <w:lvlText w:val="(%2)"/>
      <w:numFmt w:val="lowerLetter"/>
      <w:start w:val="14"/>
    </w:lvl>
  </w:abstractNum>
  <w:abstractNum w:abstractNumId="86">
    <w:nsid w:val="37DF2233"/>
    <w:multiLevelType w:val="hybridMultilevel"/>
    <w:lvl w:ilvl="0">
      <w:lvlJc w:val="left"/>
      <w:lvlText w:val="(%1)"/>
      <w:numFmt w:val="lowerLetter"/>
      <w:start w:val="18"/>
    </w:lvl>
  </w:abstractNum>
  <w:abstractNum w:abstractNumId="87">
    <w:nsid w:val="7AB49DAF"/>
    <w:multiLevelType w:val="hybridMultilevel"/>
    <w:lvl w:ilvl="0">
      <w:lvlJc w:val="left"/>
      <w:lvlText w:val="(%1)"/>
      <w:numFmt w:val="lowerLetter"/>
      <w:start w:val="13"/>
    </w:lvl>
  </w:abstractNum>
  <w:abstractNum w:abstractNumId="88">
    <w:nsid w:val="759F82CD"/>
    <w:multiLevelType w:val="hybridMultilevel"/>
    <w:lvl w:ilvl="0">
      <w:lvlJc w:val="left"/>
      <w:lvlText w:val="(%1)"/>
      <w:numFmt w:val="lowerLetter"/>
      <w:start w:val="5"/>
    </w:lvl>
  </w:abstractNum>
  <w:abstractNum w:abstractNumId="89">
    <w:nsid w:val="61E74EA3"/>
    <w:multiLevelType w:val="hybridMultilevel"/>
    <w:lvl w:ilvl="0">
      <w:lvlJc w:val="left"/>
      <w:lvlText w:val="%1."/>
      <w:numFmt w:val="decimal"/>
      <w:start w:val="1"/>
    </w:lvl>
  </w:abstractNum>
  <w:abstractNum w:abstractNumId="90">
    <w:nsid w:val="597B4D84"/>
    <w:multiLevelType w:val="hybridMultilevel"/>
    <w:lvl w:ilvl="0">
      <w:lvlJc w:val="left"/>
      <w:lvlText w:val="%1."/>
      <w:numFmt w:val="decimal"/>
      <w:start w:val="3"/>
    </w:lvl>
  </w:abstractNum>
  <w:abstractNum w:abstractNumId="91">
    <w:nsid w:val="F819E7F"/>
    <w:multiLevelType w:val="hybridMultilevel"/>
    <w:lvl w:ilvl="0">
      <w:lvlJc w:val="left"/>
      <w:lvlText w:val="%1."/>
      <w:numFmt w:val="decimal"/>
      <w:start w:val="9"/>
    </w:lvl>
  </w:abstractNum>
  <w:abstractNum w:abstractNumId="92">
    <w:nsid w:val="57C7D42D"/>
    <w:multiLevelType w:val="hybridMultilevel"/>
    <w:lvl w:ilvl="0">
      <w:lvlJc w:val="left"/>
      <w:lvlText w:val="(%1)"/>
      <w:numFmt w:val="lowerLetter"/>
      <w:start w:val="1"/>
    </w:lvl>
  </w:abstractNum>
  <w:abstractNum w:abstractNumId="93">
    <w:nsid w:val="312167AD"/>
    <w:multiLevelType w:val="hybridMultilevel"/>
    <w:lvl w:ilvl="0">
      <w:lvlJc w:val="left"/>
      <w:lvlText w:val="(%1)"/>
      <w:numFmt w:val="lowerLetter"/>
      <w:start w:val="2"/>
    </w:lvl>
  </w:abstractNum>
  <w:abstractNum w:abstractNumId="94">
    <w:nsid w:val="631B64D4"/>
    <w:multiLevelType w:val="hybridMultilevel"/>
    <w:lvl w:ilvl="0">
      <w:lvlJc w:val="left"/>
      <w:lvlText w:val="(%1)"/>
      <w:numFmt w:val="lowerLetter"/>
      <w:start w:val="1"/>
    </w:lvl>
  </w:abstractNum>
  <w:abstractNum w:abstractNumId="95">
    <w:nsid w:val="78B5E776"/>
    <w:multiLevelType w:val="hybridMultilevel"/>
    <w:lvl w:ilvl="0">
      <w:lvlJc w:val="left"/>
      <w:lvlText w:val="(%1)"/>
      <w:numFmt w:val="lowerLetter"/>
      <w:start w:val="3"/>
    </w:lvl>
  </w:abstractNum>
  <w:abstractNum w:abstractNumId="96">
    <w:nsid w:val="75486E47"/>
    <w:multiLevelType w:val="hybridMultilevel"/>
    <w:lvl w:ilvl="0">
      <w:lvlJc w:val="left"/>
      <w:lvlText w:val="(%1)"/>
      <w:numFmt w:val="lowerLetter"/>
      <w:start w:val="1"/>
    </w:lvl>
  </w:abstractNum>
  <w:abstractNum w:abstractNumId="97">
    <w:nsid w:val="6E534CDE"/>
    <w:multiLevelType w:val="hybridMultilevel"/>
    <w:lvl w:ilvl="0">
      <w:lvlJc w:val="left"/>
      <w:lvlText w:val="(%1)"/>
      <w:numFmt w:val="lowerLetter"/>
      <w:start w:val="5"/>
    </w:lvl>
  </w:abstractNum>
  <w:abstractNum w:abstractNumId="98">
    <w:nsid w:val="1A0DDE32"/>
    <w:multiLevelType w:val="hybridMultilevel"/>
    <w:lvl w:ilvl="0">
      <w:lvlJc w:val="left"/>
      <w:lvlText w:val="(%1)"/>
      <w:numFmt w:val="lowerLetter"/>
      <w:start w:val="13"/>
    </w:lvl>
  </w:abstractNum>
  <w:abstractNum w:abstractNumId="99">
    <w:nsid w:val="65968C1C"/>
    <w:multiLevelType w:val="hybridMultilevel"/>
    <w:lvl w:ilvl="0">
      <w:lvlJc w:val="left"/>
      <w:lvlText w:val="(%1)"/>
      <w:numFmt w:val="lowerRoman"/>
      <w:start w:val="2"/>
    </w:lvl>
  </w:abstractNum>
  <w:abstractNum w:abstractNumId="100">
    <w:nsid w:val="46263DEC"/>
    <w:multiLevelType w:val="hybridMultilevel"/>
    <w:lvl w:ilvl="0">
      <w:lvlJc w:val="left"/>
      <w:lvlText w:val="(%1)"/>
      <w:numFmt w:val="lowerLetter"/>
      <w:start w:val="1"/>
    </w:lvl>
  </w:abstractNum>
  <w:abstractNum w:abstractNumId="101">
    <w:nsid w:val="260D8C4A"/>
    <w:multiLevelType w:val="hybridMultilevel"/>
    <w:lvl w:ilvl="0">
      <w:lvlJc w:val="left"/>
      <w:lvlText w:val="(%1)"/>
      <w:numFmt w:val="lowerLetter"/>
      <w:start w:val="5"/>
    </w:lvl>
  </w:abstractNum>
  <w:abstractNum w:abstractNumId="102">
    <w:nsid w:val="73D4D3C4"/>
    <w:multiLevelType w:val="hybridMultilevel"/>
    <w:lvl w:ilvl="0">
      <w:lvlJc w:val="left"/>
      <w:lvlText w:val="%1."/>
      <w:numFmt w:val="decimal"/>
      <w:start w:val="1"/>
    </w:lvl>
  </w:abstractNum>
  <w:abstractNum w:abstractNumId="103">
    <w:nsid w:val="746F2E30"/>
    <w:multiLevelType w:val="hybridMultilevel"/>
    <w:lvl w:ilvl="0">
      <w:lvlJc w:val="left"/>
      <w:lvlText w:val="%1."/>
      <w:numFmt w:val="decimal"/>
      <w:start w:val="4"/>
    </w:lvl>
  </w:abstractNum>
  <w:abstractNum w:abstractNumId="104">
    <w:nsid w:val="6FDE8AF6"/>
    <w:multiLevelType w:val="hybridMultilevel"/>
    <w:lvl w:ilvl="0">
      <w:lvlJc w:val="left"/>
      <w:lvlText w:val="%1."/>
      <w:numFmt w:val="decimal"/>
      <w:start w:val="13"/>
    </w:lvl>
  </w:abstractNum>
  <w:abstractNum w:abstractNumId="105">
    <w:nsid w:val="3FC32E20"/>
    <w:multiLevelType w:val="hybridMultilevel"/>
    <w:lvl w:ilvl="0">
      <w:lvlJc w:val="left"/>
      <w:lvlText w:val="(%1)"/>
      <w:numFmt w:val="lowerLetter"/>
      <w:start w:val="1"/>
    </w:lvl>
  </w:abstractNum>
  <w:abstractNum w:abstractNumId="106">
    <w:nsid w:val="49C0E823"/>
    <w:multiLevelType w:val="hybridMultilevel"/>
    <w:lvl w:ilvl="0">
      <w:lvlJc w:val="left"/>
      <w:lvlText w:val="(%1)"/>
      <w:numFmt w:val="lowerLetter"/>
      <w:start w:val="4"/>
    </w:lvl>
  </w:abstractNum>
  <w:abstractNum w:abstractNumId="107">
    <w:nsid w:val="14D53685"/>
    <w:multiLevelType w:val="hybridMultilevel"/>
    <w:lvl w:ilvl="0">
      <w:lvlJc w:val="left"/>
      <w:lvlText w:val="(%1)"/>
      <w:numFmt w:val="lowerLetter"/>
      <w:start w:val="1"/>
    </w:lvl>
  </w:abstractNum>
  <w:abstractNum w:abstractNumId="108">
    <w:nsid w:val="230F856C"/>
    <w:multiLevelType w:val="hybridMultilevel"/>
    <w:lvl w:ilvl="0">
      <w:lvlJc w:val="left"/>
      <w:lvlText w:val="(%1)"/>
      <w:numFmt w:val="lowerRoman"/>
      <w:start w:val="1"/>
    </w:lvl>
  </w:abstractNum>
  <w:abstractNum w:abstractNumId="109">
    <w:nsid w:val="6EAA85FB"/>
    <w:multiLevelType w:val="hybridMultilevel"/>
    <w:lvl w:ilvl="0">
      <w:lvlJc w:val="left"/>
      <w:lvlText w:val="(%1)"/>
      <w:numFmt w:val="lowerRoman"/>
      <w:start w:val="2"/>
    </w:lvl>
  </w:abstractNum>
  <w:abstractNum w:abstractNumId="110">
    <w:nsid w:val="3F06ECB2"/>
    <w:multiLevelType w:val="hybridMultilevel"/>
    <w:lvl w:ilvl="0">
      <w:lvlJc w:val="left"/>
      <w:lvlText w:val="(%1)"/>
      <w:numFmt w:val="lowerRoman"/>
      <w:start w:val="2"/>
    </w:lvl>
  </w:abstractNum>
  <w:abstractNum w:abstractNumId="111">
    <w:nsid w:val="3B594807"/>
    <w:multiLevelType w:val="hybridMultilevel"/>
    <w:lvl w:ilvl="0">
      <w:lvlJc w:val="left"/>
      <w:lvlText w:val="%1."/>
      <w:numFmt w:val="decimal"/>
      <w:start w:val="17"/>
    </w:lvl>
  </w:abstractNum>
  <w:abstractNum w:abstractNumId="112">
    <w:nsid w:val="6CAA2304"/>
    <w:multiLevelType w:val="hybridMultilevel"/>
    <w:lvl w:ilvl="0">
      <w:lvlJc w:val="left"/>
      <w:lvlText w:val="%1."/>
      <w:numFmt w:val="decimal"/>
      <w:start w:val="23"/>
    </w:lvl>
  </w:abstractNum>
  <w:abstractNum w:abstractNumId="113">
    <w:nsid w:val="3F7C2FF4"/>
    <w:multiLevelType w:val="hybridMultilevel"/>
    <w:lvl w:ilvl="0">
      <w:lvlJc w:val="left"/>
      <w:lvlText w:val="%1."/>
      <w:numFmt w:val="decimal"/>
      <w:start w:val="30"/>
    </w:lvl>
  </w:abstractNum>
  <w:abstractNum w:abstractNumId="114">
    <w:nsid w:val="25413BEC"/>
    <w:multiLevelType w:val="hybridMultilevel"/>
    <w:lvl w:ilvl="0">
      <w:lvlJc w:val="left"/>
      <w:lvlText w:val="%1."/>
      <w:numFmt w:val="decimal"/>
      <w:start w:val="39"/>
    </w:lvl>
  </w:abstractNum>
  <w:abstractNum w:abstractNumId="115">
    <w:nsid w:val="17180B0B"/>
    <w:multiLevelType w:val="hybridMultilevel"/>
    <w:lvl w:ilvl="0">
      <w:lvlJc w:val="left"/>
      <w:lvlText w:val="%1."/>
      <w:numFmt w:val="decimal"/>
      <w:start w:val="40"/>
    </w:lvl>
  </w:abstractNum>
  <w:abstractNum w:abstractNumId="116">
    <w:nsid w:val="579328B9"/>
    <w:multiLevelType w:val="hybridMultilevel"/>
    <w:lvl w:ilvl="0">
      <w:lvlJc w:val="left"/>
      <w:lvlText w:val="%1."/>
      <w:numFmt w:val="decimal"/>
      <w:start w:val="47"/>
    </w:lvl>
  </w:abstractNum>
  <w:abstractNum w:abstractNumId="117">
    <w:nsid w:val="5D205E20"/>
    <w:multiLevelType w:val="hybridMultilevel"/>
    <w:lvl w:ilvl="0">
      <w:lvlJc w:val="left"/>
      <w:lvlText w:val="%1."/>
      <w:numFmt w:val="decimal"/>
      <w:start w:val="51"/>
    </w:lvl>
  </w:abstractNum>
  <w:abstractNum w:abstractNumId="118">
    <w:nsid w:val="11CCA8BA"/>
    <w:multiLevelType w:val="hybridMultilevel"/>
    <w:lvl w:ilvl="0">
      <w:lvlJc w:val="left"/>
      <w:lvlText w:val="%1"/>
      <w:numFmt w:val="lowerLetter"/>
      <w:start w:val="1"/>
    </w:lvl>
    <w:lvl w:ilvl="1">
      <w:lvlJc w:val="left"/>
      <w:lvlText w:val="%2."/>
      <w:numFmt w:val="decimal"/>
      <w:start w:val="57"/>
    </w:lvl>
  </w:abstractNum>
  <w:abstractNum w:abstractNumId="119">
    <w:nsid w:val="4D32AB86"/>
    <w:multiLevelType w:val="hybridMultilevel"/>
    <w:lvl w:ilvl="0">
      <w:lvlJc w:val="left"/>
      <w:lvlText w:val="(%1)"/>
      <w:numFmt w:val="lowerLetter"/>
      <w:start w:val="4"/>
    </w:lvl>
    <w:lvl w:ilvl="1">
      <w:lvlJc w:val="left"/>
      <w:lvlText w:val="%2."/>
      <w:numFmt w:val="decimal"/>
      <w:start w:val="63"/>
    </w:lvl>
  </w:abstractNum>
  <w:abstractNum w:abstractNumId="120">
    <w:nsid w:val="3F07ACC3"/>
    <w:multiLevelType w:val="hybridMultilevel"/>
    <w:lvl w:ilvl="0">
      <w:lvlJc w:val="left"/>
      <w:lvlText w:val="%1."/>
      <w:numFmt w:val="decimal"/>
      <w:start w:val="64"/>
    </w:lvl>
  </w:abstractNum>
  <w:abstractNum w:abstractNumId="121">
    <w:nsid w:val="6B47F63E"/>
    <w:multiLevelType w:val="hybridMultilevel"/>
    <w:lvl w:ilvl="0">
      <w:lvlJc w:val="left"/>
      <w:lvlText w:val="%1."/>
      <w:numFmt w:val="decimal"/>
      <w:start w:val="67"/>
    </w:lvl>
  </w:abstractNum>
  <w:abstractNum w:abstractNumId="122">
    <w:nsid w:val="5CB44A05"/>
    <w:multiLevelType w:val="hybridMultilevel"/>
    <w:lvl w:ilvl="0">
      <w:lvlJc w:val="left"/>
      <w:lvlText w:val="%1."/>
      <w:numFmt w:val="decimal"/>
      <w:start w:val="76"/>
    </w:lvl>
  </w:abstractNum>
  <w:abstractNum w:abstractNumId="123">
    <w:nsid w:val="16CF80F1"/>
    <w:multiLevelType w:val="hybridMultilevel"/>
    <w:lvl w:ilvl="0">
      <w:lvlJc w:val="left"/>
      <w:lvlText w:val="%1."/>
      <w:numFmt w:val="decimal"/>
      <w:start w:val="77"/>
    </w:lvl>
  </w:abstractNum>
  <w:abstractNum w:abstractNumId="124">
    <w:nsid w:val="1C695DEC"/>
    <w:multiLevelType w:val="hybridMultilevel"/>
    <w:lvl w:ilvl="0">
      <w:lvlJc w:val="left"/>
      <w:lvlText w:val="%1."/>
      <w:numFmt w:val="decimal"/>
      <w:start w:val="87"/>
    </w:lvl>
  </w:abstractNum>
  <w:abstractNum w:abstractNumId="125">
    <w:nsid w:val="3FCFAED9"/>
    <w:multiLevelType w:val="hybridMultilevel"/>
    <w:lvl w:ilvl="0">
      <w:lvlJc w:val="left"/>
      <w:lvlText w:val="%1."/>
      <w:numFmt w:val="decimal"/>
      <w:start w:val="88"/>
    </w:lvl>
  </w:abstractNum>
  <w:abstractNum w:abstractNumId="126">
    <w:nsid w:val="F856867"/>
    <w:multiLevelType w:val="hybridMultilevel"/>
    <w:lvl w:ilvl="0">
      <w:lvlJc w:val="left"/>
      <w:lvlText w:val="%1."/>
      <w:numFmt w:val="decimal"/>
      <w:start w:val="96"/>
    </w:lvl>
  </w:abstractNum>
  <w:abstractNum w:abstractNumId="127">
    <w:nsid w:val="11B1CC33"/>
    <w:multiLevelType w:val="hybridMultilevel"/>
    <w:lvl w:ilvl="0">
      <w:lvlJc w:val="left"/>
      <w:lvlText w:val="%1."/>
      <w:numFmt w:val="decimal"/>
      <w:start w:val="99"/>
    </w:lvl>
  </w:abstractNum>
  <w:abstractNum w:abstractNumId="128">
    <w:nsid w:val="2E22FBB7"/>
    <w:multiLevelType w:val="hybridMultilevel"/>
    <w:lvl w:ilvl="0">
      <w:lvlJc w:val="left"/>
      <w:lvlText w:val="%1."/>
      <w:numFmt w:val="decimal"/>
      <w:start w:val="101"/>
    </w:lvl>
  </w:abstractNum>
  <w:abstractNum w:abstractNumId="129">
    <w:nsid w:val="29934699"/>
    <w:multiLevelType w:val="hybridMultilevel"/>
    <w:lvl w:ilvl="0">
      <w:lvlJc w:val="left"/>
      <w:lvlText w:val="(%1)"/>
      <w:numFmt w:val="lowerLetter"/>
      <w:start w:val="2"/>
    </w:lvl>
  </w:abstractNum>
  <w:abstractNum w:abstractNumId="130">
    <w:nsid w:val="77485850"/>
    <w:multiLevelType w:val="hybridMultilevel"/>
    <w:lvl w:ilvl="0">
      <w:lvlJc w:val="left"/>
      <w:lvlText w:val="(%1)"/>
      <w:numFmt w:val="lowerLetter"/>
      <w:start w:val="2"/>
    </w:lvl>
  </w:abstractNum>
  <w:abstractNum w:abstractNumId="131">
    <w:nsid w:val="744939A3"/>
    <w:multiLevelType w:val="hybridMultilevel"/>
    <w:lvl w:ilvl="0">
      <w:lvlJc w:val="left"/>
      <w:lvlText w:val="%1."/>
      <w:numFmt w:val="decimal"/>
      <w:start w:val="108"/>
    </w:lvl>
  </w:abstractNum>
  <w:abstractNum w:abstractNumId="132">
    <w:nsid w:val="4FA0D2E3"/>
    <w:multiLevelType w:val="hybridMultilevel"/>
    <w:lvl w:ilvl="0">
      <w:lvlJc w:val="left"/>
      <w:lvlText w:val="%1."/>
      <w:numFmt w:val="decimal"/>
      <w:start w:val="110"/>
    </w:lvl>
  </w:abstractNum>
  <w:abstractNum w:abstractNumId="133">
    <w:nsid w:val="6B1D2C14"/>
    <w:multiLevelType w:val="hybridMultilevel"/>
    <w:lvl w:ilvl="0">
      <w:lvlJc w:val="left"/>
      <w:lvlText w:val="%1."/>
      <w:numFmt w:val="decimal"/>
      <w:start w:val="112"/>
    </w:lvl>
  </w:abstractNum>
  <w:abstractNum w:abstractNumId="134">
    <w:nsid w:val="68B867D3"/>
    <w:multiLevelType w:val="hybridMultilevel"/>
    <w:lvl w:ilvl="0">
      <w:lvlJc w:val="left"/>
      <w:lvlText w:val="%1."/>
      <w:numFmt w:val="decimal"/>
      <w:start w:val="113"/>
    </w:lvl>
  </w:abstractNum>
  <w:abstractNum w:abstractNumId="135">
    <w:nsid w:val="3F7F5DD9"/>
    <w:multiLevelType w:val="hybridMultilevel"/>
    <w:lvl w:ilvl="0">
      <w:lvlJc w:val="left"/>
      <w:lvlText w:val="%1."/>
      <w:numFmt w:val="decimal"/>
      <w:start w:val="114"/>
    </w:lvl>
  </w:abstractNum>
  <w:abstractNum w:abstractNumId="136">
    <w:nsid w:val="2AE05A34"/>
    <w:multiLevelType w:val="hybridMultilevel"/>
    <w:lvl w:ilvl="0">
      <w:lvlJc w:val="left"/>
      <w:lvlText w:val="%1."/>
      <w:numFmt w:val="decimal"/>
      <w:start w:val="119"/>
    </w:lvl>
  </w:abstractNum>
  <w:abstractNum w:abstractNumId="137">
    <w:nsid w:val="32794FF7"/>
    <w:multiLevelType w:val="hybridMultilevel"/>
    <w:lvl w:ilvl="0">
      <w:lvlJc w:val="left"/>
      <w:lvlText w:val="%1."/>
      <w:numFmt w:val="decimal"/>
      <w:start w:val="124"/>
    </w:lvl>
  </w:abstractNum>
  <w:abstractNum w:abstractNumId="138">
    <w:nsid w:val="5454945E"/>
    <w:multiLevelType w:val="hybridMultilevel"/>
    <w:lvl w:ilvl="0">
      <w:lvlJc w:val="left"/>
      <w:lvlText w:val="%1."/>
      <w:numFmt w:val="decimal"/>
      <w:start w:val="125"/>
    </w:lvl>
  </w:abstractNum>
  <w:abstractNum w:abstractNumId="139">
    <w:nsid w:val="4DEFDFA0"/>
    <w:multiLevelType w:val="hybridMultilevel"/>
    <w:lvl w:ilvl="0">
      <w:lvlJc w:val="left"/>
      <w:lvlText w:val="%1."/>
      <w:numFmt w:val="decimal"/>
      <w:start w:val="126"/>
    </w:lvl>
  </w:abstractNum>
  <w:abstractNum w:abstractNumId="140">
    <w:nsid w:val="2123D5F2"/>
    <w:multiLevelType w:val="hybridMultilevel"/>
    <w:lvl w:ilvl="0">
      <w:lvlJc w:val="left"/>
      <w:lvlText w:val="%1"/>
      <w:numFmt w:val="lowerLetter"/>
      <w:start w:val="1"/>
    </w:lvl>
    <w:lvl w:ilvl="1">
      <w:lvlJc w:val="left"/>
      <w:lvlText w:val="%2."/>
      <w:numFmt w:val="decimal"/>
      <w:start w:val="127"/>
    </w:lvl>
  </w:abstractNum>
  <w:abstractNum w:abstractNumId="141">
    <w:nsid w:val="135B8110"/>
    <w:multiLevelType w:val="hybridMultilevel"/>
    <w:lvl w:ilvl="0">
      <w:lvlJc w:val="left"/>
      <w:lvlText w:val="(%1)"/>
      <w:numFmt w:val="lowerLetter"/>
      <w:start w:val="1"/>
    </w:lvl>
    <w:lvl w:ilvl="1">
      <w:lvlJc w:val="left"/>
      <w:lvlText w:val="%2."/>
      <w:numFmt w:val="decimal"/>
      <w:start w:val="128"/>
    </w:lvl>
  </w:abstractNum>
  <w:abstractNum w:abstractNumId="142">
    <w:nsid w:val="94927A8"/>
    <w:multiLevelType w:val="hybridMultilevel"/>
    <w:lvl w:ilvl="0">
      <w:lvlJc w:val="left"/>
      <w:lvlText w:val="%1."/>
      <w:numFmt w:val="decimal"/>
      <w:start w:val="129"/>
    </w:lvl>
  </w:abstractNum>
  <w:abstractNum w:abstractNumId="143">
    <w:nsid w:val="DCDF8F6"/>
    <w:multiLevelType w:val="hybridMultilevel"/>
    <w:lvl w:ilvl="0">
      <w:lvlJc w:val="left"/>
      <w:lvlText w:val="%1."/>
      <w:numFmt w:val="decimal"/>
      <w:start w:val="130"/>
    </w:lvl>
  </w:abstractNum>
  <w:abstractNum w:abstractNumId="144">
    <w:nsid w:val="52D7B105"/>
    <w:multiLevelType w:val="hybridMultilevel"/>
    <w:lvl w:ilvl="0">
      <w:lvlJc w:val="left"/>
      <w:lvlText w:val="(%1)"/>
      <w:numFmt w:val="lowerRoman"/>
      <w:start w:val="2"/>
    </w:lvl>
  </w:abstractNum>
  <w:abstractNum w:abstractNumId="145">
    <w:nsid w:val="2E8A6394"/>
    <w:multiLevelType w:val="hybridMultilevel"/>
    <w:lvl w:ilvl="0">
      <w:lvlJc w:val="left"/>
      <w:lvlText w:val="%1."/>
      <w:numFmt w:val="decimal"/>
      <w:start w:val="131"/>
    </w:lvl>
  </w:abstractNum>
  <w:abstractNum w:abstractNumId="146">
    <w:nsid w:val="24E60401"/>
    <w:multiLevelType w:val="hybridMultilevel"/>
    <w:lvl w:ilvl="0">
      <w:lvlJc w:val="left"/>
      <w:lvlText w:val="%1."/>
      <w:numFmt w:val="decimal"/>
      <w:start w:val="138"/>
    </w:lvl>
  </w:abstractNum>
  <w:abstractNum w:abstractNumId="147">
    <w:nsid w:val="2A6AD9BE"/>
    <w:multiLevelType w:val="hybridMultilevel"/>
    <w:lvl w:ilvl="0">
      <w:lvlJc w:val="left"/>
      <w:lvlText w:val="%1."/>
      <w:numFmt w:val="decimal"/>
      <w:start w:val="139"/>
    </w:lvl>
  </w:abstractNum>
  <w:abstractNum w:abstractNumId="148">
    <w:nsid w:val="BAAC1B4"/>
    <w:multiLevelType w:val="hybridMultilevel"/>
    <w:lvl w:ilvl="0">
      <w:lvlJc w:val="left"/>
      <w:lvlText w:val="%1."/>
      <w:numFmt w:val="decimal"/>
      <w:start w:val="144"/>
    </w:lvl>
  </w:abstractNum>
  <w:abstractNum w:abstractNumId="149">
    <w:nsid w:val="36B2ACBC"/>
    <w:multiLevelType w:val="hybridMultilevel"/>
    <w:lvl w:ilvl="0">
      <w:lvlJc w:val="left"/>
      <w:lvlText w:val="%1."/>
      <w:numFmt w:val="lowerLetter"/>
      <w:start w:val="1"/>
    </w:lvl>
  </w:abstractNum>
  <w:abstractNum w:abstractNumId="150">
    <w:nsid w:val="779D8544"/>
    <w:multiLevelType w:val="hybridMultilevel"/>
    <w:lvl w:ilvl="0">
      <w:lvlJc w:val="left"/>
      <w:lvlText w:val="%1."/>
      <w:numFmt w:val="lowerLetter"/>
      <w:start w:val="2"/>
    </w:lvl>
    <w:lvl w:ilvl="1">
      <w:lvlJc w:val="left"/>
      <w:lvlText w:val="%2."/>
      <w:numFmt w:val="lowerLetter"/>
      <w:start w:val="1"/>
    </w:lvl>
  </w:abstractNum>
  <w:abstractNum w:abstractNumId="151">
    <w:nsid w:val="4AB26E78"/>
    <w:multiLevelType w:val="hybridMultilevel"/>
    <w:lvl w:ilvl="0">
      <w:lvlJc w:val="left"/>
      <w:lvlText w:val="%1"/>
      <w:numFmt w:val="lowerRoman"/>
      <w:start w:val="1"/>
    </w:lvl>
    <w:lvl w:ilvl="1">
      <w:lvlJc w:val="left"/>
      <w:lvlText w:val="%2."/>
      <w:numFmt w:val="lowerLetter"/>
      <w:start w:val="3"/>
    </w:lvl>
  </w:abstractNum>
  <w:abstractNum w:abstractNumId="152">
    <w:nsid w:val="21FAA2FA"/>
    <w:multiLevelType w:val="hybridMultilevel"/>
    <w:lvl w:ilvl="0">
      <w:lvlJc w:val="left"/>
      <w:lvlText w:val="(%1)"/>
      <w:numFmt w:val="lowerRoman"/>
      <w:start w:val="1"/>
    </w:lvl>
    <w:lvl w:ilvl="1">
      <w:lvlJc w:val="left"/>
      <w:lvlText w:val="%2"/>
      <w:numFmt w:val="lowerLetter"/>
      <w:start w:val="1"/>
    </w:lvl>
  </w:abstractNum>
  <w:abstractNum w:abstractNumId="153">
    <w:nsid w:val="5451CF49"/>
    <w:multiLevelType w:val="hybridMultilevel"/>
    <w:lvl w:ilvl="0">
      <w:lvlJc w:val="left"/>
      <w:lvlText w:val="%1."/>
      <w:numFmt w:val="decimal"/>
      <w:start w:val="146"/>
    </w:lvl>
  </w:abstractNum>
  <w:abstractNum w:abstractNumId="154">
    <w:nsid w:val="6181EF69"/>
    <w:multiLevelType w:val="hybridMultilevel"/>
    <w:lvl w:ilvl="0">
      <w:lvlJc w:val="left"/>
      <w:lvlText w:val="%1."/>
      <w:numFmt w:val="decimal"/>
      <w:start w:val="147"/>
    </w:lvl>
  </w:abstractNum>
  <w:abstractNum w:abstractNumId="155">
    <w:nsid w:val="3E6400E6"/>
    <w:multiLevelType w:val="hybridMultilevel"/>
    <w:lvl w:ilvl="0">
      <w:lvlJc w:val="left"/>
      <w:lvlText w:val="%1."/>
      <w:numFmt w:val="decimal"/>
      <w:start w:val="148"/>
    </w:lvl>
  </w:abstractNum>
  <w:abstractNum w:abstractNumId="156">
    <w:nsid w:val="14217E23"/>
    <w:multiLevelType w:val="hybridMultilevel"/>
    <w:lvl w:ilvl="0">
      <w:lvlJc w:val="left"/>
      <w:lvlText w:val="%1."/>
      <w:numFmt w:val="decimal"/>
      <w:start w:val="150"/>
    </w:lvl>
  </w:abstractNum>
  <w:abstractNum w:abstractNumId="157">
    <w:nsid w:val="710757D0"/>
    <w:multiLevelType w:val="hybridMultilevel"/>
    <w:lvl w:ilvl="0">
      <w:lvlJc w:val="left"/>
      <w:lvlText w:val="%1"/>
      <w:numFmt w:val="lowerLetter"/>
      <w:start w:val="1"/>
    </w:lvl>
    <w:lvl w:ilvl="1">
      <w:lvlJc w:val="left"/>
      <w:lvlText w:val="(%2)"/>
      <w:numFmt w:val="lowerLetter"/>
      <w:start w:val="1"/>
    </w:lvl>
  </w:abstractNum>
  <w:abstractNum w:abstractNumId="158">
    <w:nsid w:val="5015CD1A"/>
    <w:multiLevelType w:val="hybridMultilevel"/>
    <w:lvl w:ilvl="0">
      <w:lvlJc w:val="left"/>
      <w:lvlText w:val="(%1)"/>
      <w:numFmt w:val="lowerLetter"/>
      <w:start w:val="25"/>
    </w:lvl>
    <w:lvl w:ilvl="1">
      <w:lvlJc w:val="left"/>
      <w:lvlText w:val="(%2)"/>
      <w:numFmt w:val="lowerLetter"/>
      <w:start w:val="2"/>
    </w:lvl>
  </w:abstractNum>
  <w:abstractNum w:abstractNumId="159">
    <w:nsid w:val="424479DA"/>
    <w:multiLevelType w:val="hybridMultilevel"/>
    <w:lvl w:ilvl="0">
      <w:lvlJc w:val="left"/>
      <w:lvlText w:val="%1."/>
      <w:numFmt w:val="decimal"/>
      <w:start w:val="151"/>
    </w:lvl>
  </w:abstractNum>
  <w:abstractNum w:abstractNumId="160">
    <w:nsid w:val="1A9A9E69"/>
    <w:multiLevelType w:val="hybridMultilevel"/>
    <w:lvl w:ilvl="0">
      <w:lvlJc w:val="left"/>
      <w:lvlText w:val="%1"/>
      <w:numFmt w:val="upperLetter"/>
      <w:start w:val="61"/>
    </w:lvl>
  </w:abstractNum>
  <w:abstractNum w:abstractNumId="161">
    <w:nsid w:val="475E256A"/>
    <w:multiLevelType w:val="hybridMultilevel"/>
    <w:lvl w:ilvl="0">
      <w:lvlJc w:val="left"/>
      <w:lvlText w:val="%1."/>
      <w:numFmt w:val="decimal"/>
      <w:start w:val="153"/>
    </w:lvl>
  </w:abstractNum>
  <w:abstractNum w:abstractNumId="162">
    <w:nsid w:val="368DB37E"/>
    <w:multiLevelType w:val="hybridMultilevel"/>
    <w:lvl w:ilvl="0">
      <w:lvlJc w:val="left"/>
      <w:lvlText w:val="(%1)"/>
      <w:numFmt w:val="lowerLetter"/>
      <w:start w:val="1"/>
    </w:lvl>
  </w:abstractNum>
  <w:abstractNum w:abstractNumId="163">
    <w:nsid w:val="6A3B714C"/>
    <w:multiLevelType w:val="hybridMultilevel"/>
    <w:lvl w:ilvl="0">
      <w:lvlJc w:val="left"/>
      <w:lvlText w:val="(%1)"/>
      <w:numFmt w:val="lowerRoman"/>
      <w:start w:val="1"/>
    </w:lvl>
  </w:abstractNum>
  <w:abstractNum w:abstractNumId="164">
    <w:nsid w:val="327B517E"/>
    <w:multiLevelType w:val="hybridMultilevel"/>
    <w:lvl w:ilvl="0">
      <w:lvlJc w:val="left"/>
      <w:lvlText w:val="•"/>
      <w:numFmt w:val="bullet"/>
      <w:start w:val="1"/>
    </w:lvl>
  </w:abstractNum>
  <w:abstractNum w:abstractNumId="165">
    <w:nsid w:val="1F461B51"/>
    <w:multiLevelType w:val="hybridMultilevel"/>
    <w:lvl w:ilvl="0">
      <w:lvlJc w:val="left"/>
      <w:lvlText w:val="%1."/>
      <w:numFmt w:val="decimal"/>
      <w:start w:val="2"/>
    </w:lvl>
    <w:lvl w:ilvl="1">
      <w:lvlJc w:val="left"/>
      <w:lvlText w:val="•"/>
      <w:numFmt w:val="bullet"/>
      <w:start w:val="1"/>
    </w:lvl>
  </w:abstractNum>
  <w:abstractNum w:abstractNumId="166">
    <w:nsid w:val="29BACF25"/>
    <w:multiLevelType w:val="hybridMultilevel"/>
    <w:lvl w:ilvl="0">
      <w:lvlJc w:val="left"/>
      <w:lvlText w:val="%1."/>
      <w:numFmt w:val="decimal"/>
      <w:start w:val="3"/>
    </w:lvl>
  </w:abstractNum>
  <w:abstractNum w:abstractNumId="167">
    <w:nsid w:val="5D5BABB3"/>
    <w:multiLevelType w:val="hybridMultilevel"/>
    <w:lvl w:ilvl="0">
      <w:lvlJc w:val="left"/>
      <w:lvlText w:val="%1."/>
      <w:numFmt w:val="decimal"/>
      <w:start w:val="4"/>
    </w:lvl>
  </w:abstractNum>
  <w:abstractNum w:abstractNumId="168">
    <w:nsid w:val="51BF6B48"/>
    <w:multiLevelType w:val="hybridMultilevel"/>
    <w:lvl w:ilvl="0">
      <w:lvlJc w:val="left"/>
      <w:lvlText w:val="•"/>
      <w:numFmt w:val="bullet"/>
      <w:start w:val="1"/>
    </w:lvl>
  </w:abstractNum>
  <w:abstractNum w:abstractNumId="169">
    <w:nsid w:val="7E0F6384"/>
    <w:multiLevelType w:val="hybridMultilevel"/>
    <w:lvl w:ilvl="0">
      <w:lvlJc w:val="left"/>
      <w:lvlText w:val="•"/>
      <w:numFmt w:val="bullet"/>
      <w:start w:val="1"/>
    </w:lvl>
  </w:abstractNum>
  <w:abstractNum w:abstractNumId="170">
    <w:nsid w:val="2B4B8B53"/>
    <w:multiLevelType w:val="hybridMultilevel"/>
    <w:lvl w:ilvl="0">
      <w:lvlJc w:val="left"/>
      <w:lvlText w:val="•"/>
      <w:numFmt w:val="bullet"/>
      <w:start w:val="1"/>
    </w:lvl>
  </w:abstractNum>
  <w:abstractNum w:abstractNumId="171">
    <w:nsid w:val="72E3413A"/>
    <w:multiLevelType w:val="hybridMultilevel"/>
    <w:lvl w:ilvl="0">
      <w:lvlJc w:val="left"/>
      <w:lvlText w:val="•"/>
      <w:numFmt w:val="bullet"/>
      <w:start w:val="1"/>
    </w:lvl>
  </w:abstractNum>
  <w:abstractNum w:abstractNumId="172">
    <w:nsid w:val="116AE494"/>
    <w:multiLevelType w:val="hybridMultilevel"/>
    <w:lvl w:ilvl="0">
      <w:lvlJc w:val="left"/>
      <w:lvlText w:val="•"/>
      <w:numFmt w:val="bullet"/>
      <w:start w:val="1"/>
    </w:lvl>
  </w:abstractNum>
  <w:abstractNum w:abstractNumId="173">
    <w:nsid w:val="3494B2FB"/>
    <w:multiLevelType w:val="hybridMultilevel"/>
    <w:lvl w:ilvl="0">
      <w:lvlJc w:val="left"/>
      <w:lvlText w:val="(%1)"/>
      <w:numFmt w:val="lowerLetter"/>
      <w:start w:val="1"/>
    </w:lvl>
  </w:abstractNum>
  <w:abstractNum w:abstractNumId="174">
    <w:nsid w:val="B13A31"/>
    <w:multiLevelType w:val="hybridMultilevel"/>
    <w:lvl w:ilvl="0">
      <w:lvlJc w:val="left"/>
      <w:lvlText w:val="(%1)"/>
      <w:numFmt w:val="lowerLetter"/>
      <w:start w:val="4"/>
    </w:lvl>
  </w:abstractNum>
  <w:abstractNum w:abstractNumId="175">
    <w:nsid w:val="64429599"/>
    <w:multiLevelType w:val="hybridMultilevel"/>
    <w:lvl w:ilvl="0">
      <w:lvlJc w:val="left"/>
      <w:lvlText w:val="%1."/>
      <w:numFmt w:val="decimal"/>
      <w:start w:val="2"/>
    </w:lvl>
  </w:abstractNum>
  <w:abstractNum w:abstractNumId="176">
    <w:nsid w:val="631F1690"/>
    <w:multiLevelType w:val="hybridMultilevel"/>
    <w:lvl w:ilvl="0">
      <w:lvlJc w:val="left"/>
      <w:lvlText w:val="%1."/>
      <w:numFmt w:val="decimal"/>
      <w:start w:val="3"/>
    </w:lvl>
  </w:abstractNum>
  <w:abstractNum w:abstractNumId="177">
    <w:nsid w:val="25973E32"/>
    <w:multiLevelType w:val="hybridMultilevel"/>
    <w:lvl w:ilvl="0">
      <w:lvlJc w:val="left"/>
      <w:lvlText w:val="(%1)"/>
      <w:numFmt w:val="lowerLetter"/>
      <w:start w:val="1"/>
    </w:lvl>
  </w:abstractNum>
  <w:abstractNum w:abstractNumId="178">
    <w:nsid w:val="EAD6F57"/>
    <w:multiLevelType w:val="hybridMultilevel"/>
    <w:lvl w:ilvl="0">
      <w:lvlJc w:val="left"/>
      <w:lvlText w:val="%1."/>
      <w:numFmt w:val="decimal"/>
      <w:start w:val="4"/>
    </w:lvl>
  </w:abstractNum>
  <w:abstractNum w:abstractNumId="179">
    <w:nsid w:val="6EC9D844"/>
    <w:multiLevelType w:val="hybridMultilevel"/>
    <w:lvl w:ilvl="0">
      <w:lvlJc w:val="left"/>
      <w:lvlText w:val="(%1)"/>
      <w:numFmt w:val="lowerLetter"/>
      <w:start w:val="1"/>
    </w:lvl>
  </w:abstractNum>
  <w:abstractNum w:abstractNumId="180">
    <w:nsid w:val="5C49EAEE"/>
    <w:multiLevelType w:val="hybridMultilevel"/>
    <w:lvl w:ilvl="0">
      <w:lvlJc w:val="left"/>
      <w:lvlText w:val="(%1)"/>
      <w:numFmt w:val="lowerRoman"/>
      <w:start w:val="1"/>
    </w:lvl>
  </w:abstractNum>
  <w:abstractNum w:abstractNumId="181">
    <w:nsid w:val="64AF49B"/>
    <w:multiLevelType w:val="hybridMultilevel"/>
    <w:lvl w:ilvl="0">
      <w:lvlJc w:val="left"/>
      <w:lvlText w:val="%1."/>
      <w:numFmt w:val="decimal"/>
      <w:start w:val="5"/>
    </w:lvl>
  </w:abstractNum>
  <w:abstractNum w:abstractNumId="182">
    <w:nsid w:val="397C46BC"/>
    <w:multiLevelType w:val="hybridMultilevel"/>
    <w:lvl w:ilvl="0">
      <w:lvlJc w:val="left"/>
      <w:lvlText w:val="(%1)"/>
      <w:numFmt w:val="lowerLetter"/>
      <w:start w:val="1"/>
    </w:lvl>
  </w:abstractNum>
  <w:abstractNum w:abstractNumId="183">
    <w:nsid w:val="7E448DE9"/>
    <w:multiLevelType w:val="hybridMultilevel"/>
    <w:lvl w:ilvl="0">
      <w:lvlJc w:val="left"/>
      <w:lvlText w:val="(%1)"/>
      <w:numFmt w:val="lowerLetter"/>
      <w:start w:val="2"/>
    </w:lvl>
  </w:abstractNum>
  <w:abstractNum w:abstractNumId="184">
    <w:nsid w:val="5A9CC3E5"/>
    <w:multiLevelType w:val="hybridMultilevel"/>
    <w:lvl w:ilvl="0">
      <w:lvlJc w:val="left"/>
      <w:lvlText w:val="%1."/>
      <w:numFmt w:val="decimal"/>
      <w:start w:val="7"/>
    </w:lvl>
  </w:abstractNum>
  <w:abstractNum w:abstractNumId="185">
    <w:nsid w:val="1AFE3625"/>
    <w:multiLevelType w:val="hybridMultilevel"/>
    <w:lvl w:ilvl="0">
      <w:lvlJc w:val="left"/>
      <w:lvlText w:val="(%1)"/>
      <w:numFmt w:val="lowerLetter"/>
      <w:start w:val="1"/>
    </w:lvl>
  </w:abstractNum>
  <w:abstractNum w:abstractNumId="186">
    <w:nsid w:val="3CA88ECF"/>
    <w:multiLevelType w:val="hybridMultilevel"/>
    <w:lvl w:ilvl="0">
      <w:lvlJc w:val="left"/>
      <w:lvlText w:val="(%1)"/>
      <w:numFmt w:val="lowerLetter"/>
      <w:start w:val="5"/>
    </w:lvl>
  </w:abstractNum>
  <w:abstractNum w:abstractNumId="187">
    <w:nsid w:val="6EBE4208"/>
    <w:multiLevelType w:val="hybridMultilevel"/>
    <w:lvl w:ilvl="0">
      <w:lvlJc w:val="left"/>
      <w:lvlText w:val="%1."/>
      <w:numFmt w:val="decimal"/>
      <w:start w:val="12"/>
    </w:lvl>
  </w:abstractNum>
  <w:abstractNum w:abstractNumId="188">
    <w:nsid w:val="C058DF5"/>
    <w:multiLevelType w:val="hybridMultilevel"/>
    <w:lvl w:ilvl="0">
      <w:lvlJc w:val="left"/>
      <w:lvlText w:val="(%1)"/>
      <w:numFmt w:val="lowerLetter"/>
      <w:start w:val="1"/>
    </w:lvl>
  </w:abstractNum>
  <w:abstractNum w:abstractNumId="189">
    <w:nsid w:val="CBE5BE9"/>
    <w:multiLevelType w:val="hybridMultilevel"/>
    <w:lvl w:ilvl="0">
      <w:lvlJc w:val="left"/>
      <w:lvlText w:val="(%1)"/>
      <w:numFmt w:val="lowerLetter"/>
      <w:start w:val="1"/>
    </w:lvl>
  </w:abstractNum>
  <w:abstractNum w:abstractNumId="190">
    <w:nsid w:val="3102BBE2"/>
    <w:multiLevelType w:val="hybridMultilevel"/>
    <w:lvl w:ilvl="0">
      <w:lvlJc w:val="left"/>
      <w:lvlText w:val="%1."/>
      <w:numFmt w:val="decimal"/>
      <w:start w:val="14"/>
    </w:lvl>
  </w:abstractNum>
  <w:abstractNum w:abstractNumId="191">
    <w:nsid w:val="26A02C5E"/>
    <w:multiLevelType w:val="hybridMultilevel"/>
    <w:lvl w:ilvl="0">
      <w:lvlJc w:val="left"/>
      <w:lvlText w:val="%1."/>
      <w:numFmt w:val="decimal"/>
      <w:start w:val="17"/>
    </w:lvl>
  </w:abstractNum>
  <w:abstractNum w:abstractNumId="192">
    <w:nsid w:val="541C8153"/>
    <w:multiLevelType w:val="hybridMultilevel"/>
    <w:lvl w:ilvl="0">
      <w:lvlJc w:val="left"/>
      <w:lvlText w:val="%1."/>
      <w:numFmt w:val="decimal"/>
      <w:start w:val="21"/>
    </w:lvl>
  </w:abstractNum>
  <w:abstractNum w:abstractNumId="193">
    <w:nsid w:val="67906F60"/>
    <w:multiLevelType w:val="hybridMultilevel"/>
    <w:lvl w:ilvl="0">
      <w:lvlJc w:val="left"/>
      <w:lvlText w:val="%1."/>
      <w:numFmt w:val="decimal"/>
      <w:start w:val="1"/>
    </w:lvl>
  </w:abstractNum>
  <w:abstractNum w:abstractNumId="194">
    <w:nsid w:val="10DB9DAA"/>
    <w:multiLevelType w:val="hybridMultilevel"/>
    <w:lvl w:ilvl="0">
      <w:lvlJc w:val="left"/>
      <w:lvlText w:val="%1"/>
      <w:numFmt w:val="decimal"/>
      <w:start w:val="1"/>
    </w:lvl>
    <w:lvl w:ilvl="1">
      <w:lvlJc w:val="left"/>
      <w:lvlText w:val="(%2)"/>
      <w:numFmt w:val="lowerLetter"/>
      <w:start w:val="1"/>
    </w:lvl>
  </w:abstractNum>
  <w:abstractNum w:abstractNumId="195">
    <w:nsid w:val="697D2D2"/>
    <w:multiLevelType w:val="hybridMultilevel"/>
    <w:lvl w:ilvl="0">
      <w:lvlJc w:val="left"/>
      <w:lvlText w:val="%1."/>
      <w:numFmt w:val="decimal"/>
      <w:start w:val="5"/>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84" Type="http://schemas.openxmlformats.org/officeDocument/2006/relationships/image" Target="media/image156.png"/><Relationship Id="rId191"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163" Type="http://schemas.openxmlformats.org/officeDocument/2006/relationships/hyperlink" Target="http://www.sec.gov/Archives/edgar/data/913760/000091376020000031/exhibitmergeragtexecution.htm" TargetMode="External"/><Relationship Id="rId164" Type="http://schemas.openxmlformats.org/officeDocument/2006/relationships/hyperlink" Target="http://www.sec.gov/Archives/edgar/data/913760/000119312509206241/dex31.htm" TargetMode="External"/><Relationship Id="rId165" Type="http://schemas.openxmlformats.org/officeDocument/2006/relationships/hyperlink" Target="http://www.sec.gov/Archives/edgar/data/913760/000119312507182772/dex3ii.htm" TargetMode="External"/><Relationship Id="rId166" Type="http://schemas.openxmlformats.org/officeDocument/2006/relationships/hyperlink" Target="http://www.sec.gov/Archives/edgar/data/913760/000091376020000136/ex32julystonex2020.htm" TargetMode="External"/><Relationship Id="rId167" Type="http://schemas.openxmlformats.org/officeDocument/2006/relationships/hyperlink" Target="http://www.sec.gov/Archives/edgar/data/913760/000102140803000305/ddef14a.txt" TargetMode="External"/><Relationship Id="rId168" Type="http://schemas.openxmlformats.org/officeDocument/2006/relationships/hyperlink" Target="http://www.sec.gov/Archives/edgar/data/913760/000119312504019233/ddef14a.htm" TargetMode="External"/><Relationship Id="rId169" Type="http://schemas.openxmlformats.org/officeDocument/2006/relationships/hyperlink" Target="http://www.sec.gov/Archives/edgar/data/913760/000119312506009596/ddef14a.htm" TargetMode="External"/><Relationship Id="rId170" Type="http://schemas.openxmlformats.org/officeDocument/2006/relationships/hyperlink" Target="http://www.sec.gov/Archives/edgar/data/913760/000091376013000003/intlfcstoneinc2013proxy.htm" TargetMode="External"/><Relationship Id="rId171" Type="http://schemas.openxmlformats.org/officeDocument/2006/relationships/hyperlink" Target="http://www.sec.gov/Archives/edgar/data/913760/000091376020000097/exhibit41_06112020.htm" TargetMode="External"/><Relationship Id="rId172" Type="http://schemas.openxmlformats.org/officeDocument/2006/relationships/hyperlink" Target="http://www.sec.gov/Archives/edgar/data/913760/000091376020000107/exhibit41-firstsupplementa.htm" TargetMode="External"/><Relationship Id="rId173" Type="http://schemas.openxmlformats.org/officeDocument/2006/relationships/hyperlink" Target="http://www.sec.gov/Archives/edgar/data/913760/000091376020000107/exhibit42-securityandpledg.htm" TargetMode="External"/><Relationship Id="rId174" Type="http://schemas.openxmlformats.org/officeDocument/2006/relationships/hyperlink" Target="http://www.sec.gov/Archives/edgar/data/913760/000091376020000107/exhibit43-joindertocredita.htm" TargetMode="External"/><Relationship Id="rId175" Type="http://schemas.openxmlformats.org/officeDocument/2006/relationships/hyperlink" Target="http://www.sec.gov/Archives/edgar/data/913760/000102140802012831/dex6.txt" TargetMode="External"/><Relationship Id="rId176" Type="http://schemas.openxmlformats.org/officeDocument/2006/relationships/hyperlink" Target="http://www.sec.gov/Archives/edgar/data/913760/000093176302003610/dex4.txt" TargetMode="External"/><Relationship Id="rId177" Type="http://schemas.openxmlformats.org/officeDocument/2006/relationships/hyperlink" Target="http://www.sec.gov/Archives/edgar/data/913760/000102140802012831/dex8.txt" TargetMode="External"/><Relationship Id="rId178" Type="http://schemas.openxmlformats.org/officeDocument/2006/relationships/hyperlink" Target="http://www.sec.gov/Archives/edgar/data/913760/000093176302003610/dex6.txt" TargetMode="External"/><Relationship Id="rId179" Type="http://schemas.openxmlformats.org/officeDocument/2006/relationships/hyperlink" Target="http://www.sec.gov/Archives/edgar/data/913760/000091376012000002/a2012proxy.htm" TargetMode="External"/><Relationship Id="rId180" Type="http://schemas.openxmlformats.org/officeDocument/2006/relationships/hyperlink" Target="http://www.sec.gov/Archives/edgar/data/913760/000091376016000214/a2016proxy.htm" TargetMode="External"/><Relationship Id="rId181" Type="http://schemas.openxmlformats.org/officeDocument/2006/relationships/hyperlink" Target="http://www.sec.gov/Archives/edgar/data/913760/000091376017000005/a2017proxy.htm" TargetMode="External"/><Relationship Id="rId182" Type="http://schemas.openxmlformats.org/officeDocument/2006/relationships/hyperlink" Target="http://www.sec.gov/Archives/edgar/data/1297846/000119312504209866/dex107.htm" TargetMode="External"/><Relationship Id="rId183" Type="http://schemas.openxmlformats.org/officeDocument/2006/relationships/hyperlink" Target="http://www.sec.gov/Archives/edgar/data/1297846/000119312504221724/dex109.htm" TargetMode="External"/><Relationship Id="rId185" Type="http://schemas.openxmlformats.org/officeDocument/2006/relationships/hyperlink" Target="http://www.sec.gov/Archives/edgar/data/913760/000091376019000059/a2019amendedandrestatedcre.htm" TargetMode="External"/><Relationship Id="rId186" Type="http://schemas.openxmlformats.org/officeDocument/2006/relationships/hyperlink" Target="http://www.sec.gov/Archives/edgar/data/913760/000091376019000141/exhibit1012.htm" TargetMode="External"/><Relationship Id="rId187" Type="http://schemas.openxmlformats.org/officeDocument/2006/relationships/hyperlink" Target="http://www.sec.gov/Archives/edgar/data/913760/000091376019000141/exhibit1013.htm" TargetMode="External"/><Relationship Id="rId188" Type="http://schemas.openxmlformats.org/officeDocument/2006/relationships/hyperlink" Target="http://www.sec.gov/Archives/edgar/data/913760/000118143110034640/rrd279943_32326.htm" TargetMode="External"/><Relationship Id="rId189" Type="http://schemas.openxmlformats.org/officeDocument/2006/relationships/hyperlink" Target="http://www.sec.gov/Archives/edgar/data/913760/000091376015000094/a8-kfcsdeliveryfinanceexhbt.htm" TargetMode="External"/><Relationship Id="rId190" Type="http://schemas.openxmlformats.org/officeDocument/2006/relationships/hyperlink" Target="http://www.sec.gov/Archives/edgar/data/913760/000091376015000109/exhibit2iffi8-k.htm" TargetMode="External"/><Relationship Id="rId192" Type="http://schemas.openxmlformats.org/officeDocument/2006/relationships/hyperlink" Target="http://www.sec.gov/Archives/edgar/data/913760/000119312503099735/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2020-12-14T15:28:08Z</dcterms:created>
  <dcterms:modified xsi:type="dcterms:W3CDTF">2020-12-14T15:28:08Z</dcterms:modified>
</cp:coreProperties>
</file>