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0"/>
        <w:jc w:val="center"/>
        <w:rPr/>
      </w:pPr>
      <w:r>
        <w:rPr>
          <w:rFonts w:ascii="Times New Roman;sans-serif" w:hAnsi="Times New Roman;sans-serif"/>
          <w:b/>
          <w:color w:val="000000"/>
          <w:sz w:val="20"/>
        </w:rPr>
        <w:t>OR</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000-23554 </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 xml:space="preserve">StoneX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59-2921318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pPr>
      <w:r>
        <w:rPr>
          <w:rFonts w:ascii="Times New Roman;sans-serif" w:hAnsi="Times New Roman;sans-serif"/>
          <w:b/>
          <w:color w:val="000000"/>
          <w:sz w:val="20"/>
        </w:rPr>
        <w:t>230 Park Ave, 10th Floor</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New York, NY 10169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485-3500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708" w:type="dxa"/>
        <w:jc w:val="left"/>
        <w:tblInd w:w="0" w:type="dxa"/>
        <w:tblLayout w:type="fixed"/>
        <w:tblCellMar>
          <w:top w:w="28" w:type="dxa"/>
          <w:left w:w="28" w:type="dxa"/>
          <w:bottom w:w="28" w:type="dxa"/>
          <w:right w:w="28" w:type="dxa"/>
        </w:tblCellMar>
      </w:tblPr>
      <w:tblGrid>
        <w:gridCol w:w="990"/>
        <w:gridCol w:w="865"/>
        <w:gridCol w:w="875"/>
        <w:gridCol w:w="109"/>
        <w:gridCol w:w="109"/>
        <w:gridCol w:w="109"/>
        <w:gridCol w:w="499"/>
        <w:gridCol w:w="499"/>
        <w:gridCol w:w="501"/>
        <w:gridCol w:w="109"/>
        <w:gridCol w:w="109"/>
        <w:gridCol w:w="109"/>
        <w:gridCol w:w="1118"/>
        <w:gridCol w:w="1118"/>
        <w:gridCol w:w="1589"/>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tbl>
      <w:tblPr>
        <w:tblW w:w="473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5"/>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1, 2023, there were 20,794,764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StoneX Group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Quarterly Report on Form 10-Q for the Quarterly Period Ended June 30, 2023</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533" w:type="dxa"/>
        <w:jc w:val="left"/>
        <w:tblInd w:w="0" w:type="dxa"/>
        <w:tblLayout w:type="fixed"/>
        <w:tblCellMar>
          <w:top w:w="28" w:type="dxa"/>
          <w:left w:w="28" w:type="dxa"/>
          <w:bottom w:w="28" w:type="dxa"/>
          <w:right w:w="28" w:type="dxa"/>
        </w:tblCellMar>
      </w:tblPr>
      <w:tblGrid>
        <w:gridCol w:w="602"/>
        <w:gridCol w:w="528"/>
        <w:gridCol w:w="528"/>
        <w:gridCol w:w="2438"/>
        <w:gridCol w:w="2438"/>
        <w:gridCol w:w="2488"/>
        <w:gridCol w:w="149"/>
        <w:gridCol w:w="149"/>
        <w:gridCol w:w="213"/>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3">
              <w:r>
                <w:rPr>
                  <w:rStyle w:val="InternetLink"/>
                  <w:rFonts w:ascii="Times New Roman;sans-serif" w:hAnsi="Times New Roman;sans-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6">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0">
              <w:r>
                <w:rPr>
                  <w:rStyle w:val="InternetLink"/>
                  <w:rFonts w:ascii="Times New Roman;sans-serif" w:hAnsi="Times New Roman;sans-serif"/>
                  <w:b w:val="false"/>
                  <w:color w:val="0000FF"/>
                  <w:sz w:val="20"/>
                  <w:u w:val="single"/>
                </w:rPr>
                <w:t>1</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9">
              <w:r>
                <w:rPr>
                  <w:rStyle w:val="InternetLink"/>
                  <w:rFonts w:ascii="Times New Roman;sans-serif" w:hAnsi="Times New Roman;sans-serif"/>
                  <w:b w:val="false"/>
                  <w:color w:val="0000FF"/>
                  <w:sz w:val="20"/>
                  <w:u w:val="single"/>
                </w:rPr>
                <w:t>Condensed Consolidated Income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9">
              <w:r>
                <w:rPr>
                  <w:rStyle w:val="InternetLink"/>
                  <w:rFonts w:ascii="Times New Roman;sans-serif" w:hAnsi="Times New Roman;sans-serif"/>
                  <w:b w:val="false"/>
                  <w:color w:val="0000FF"/>
                  <w:sz w:val="20"/>
                  <w:u w:val="single"/>
                </w:rPr>
                <w:t>2</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22">
              <w:r>
                <w:rPr>
                  <w:rStyle w:val="InternetLink"/>
                  <w:rFonts w:ascii="Times New Roman;sans-serif" w:hAnsi="Times New Roman;sans-serif"/>
                  <w:b w:val="false"/>
                  <w:color w:val="0000FF"/>
                  <w:sz w:val="20"/>
                  <w:u w:val="single"/>
                </w:rPr>
                <w:t>Condensed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22">
              <w:r>
                <w:rPr>
                  <w:rStyle w:val="InternetLink"/>
                  <w:rFonts w:ascii="Times New Roman;sans-serif" w:hAnsi="Times New Roman;sans-serif"/>
                  <w:b w:val="false"/>
                  <w:color w:val="0000FF"/>
                  <w:sz w:val="20"/>
                  <w:u w:val="single"/>
                </w:rPr>
                <w:t>3</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25">
              <w:r>
                <w:rPr>
                  <w:rStyle w:val="InternetLink"/>
                  <w:rFonts w:ascii="Times New Roman;sans-serif" w:hAnsi="Times New Roman;sans-serif"/>
                  <w:b w:val="false"/>
                  <w:color w:val="0000FF"/>
                  <w:sz w:val="20"/>
                  <w:u w:val="single"/>
                </w:rPr>
                <w:t>4</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31">
              <w:r>
                <w:rPr>
                  <w:rStyle w:val="InternetLink"/>
                  <w:rFonts w:ascii="Times New Roman;sans-serif" w:hAnsi="Times New Roman;sans-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31">
              <w:r>
                <w:rPr>
                  <w:rStyle w:val="InternetLink"/>
                  <w:rFonts w:ascii="Times New Roman;sans-serif" w:hAnsi="Times New Roman;sans-serif"/>
                  <w:b w:val="false"/>
                  <w:color w:val="0000FF"/>
                  <w:sz w:val="20"/>
                  <w:u w:val="single"/>
                </w:rPr>
                <w:t>6</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34">
              <w:r>
                <w:rPr>
                  <w:rStyle w:val="InternetLink"/>
                  <w:rFonts w:ascii="Times New Roman;sans-serif" w:hAnsi="Times New Roman;sans-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34">
              <w:r>
                <w:rPr>
                  <w:rStyle w:val="InternetLink"/>
                  <w:rFonts w:ascii="Times New Roman;sans-serif" w:hAnsi="Times New Roman;sans-serif"/>
                  <w:b w:val="false"/>
                  <w:color w:val="0000FF"/>
                  <w:sz w:val="20"/>
                  <w:u w:val="single"/>
                </w:rPr>
                <w:t>7</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97">
              <w:r>
                <w:rPr>
                  <w:rStyle w:val="InternetLink"/>
                  <w:rFonts w:ascii="Times New Roman;sans-serif" w:hAnsi="Times New Roman;sans-serif"/>
                  <w:b w:val="false"/>
                  <w:color w:val="0000FF"/>
                  <w:sz w:val="20"/>
                  <w:u w:val="single"/>
                </w:rPr>
                <w:t>32</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72">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72">
              <w:r>
                <w:rPr>
                  <w:rStyle w:val="InternetLink"/>
                  <w:rFonts w:ascii="Times New Roman;sans-serif" w:hAnsi="Times New Roman;sans-serif"/>
                  <w:b w:val="false"/>
                  <w:color w:val="0000FF"/>
                  <w:sz w:val="20"/>
                  <w:u w:val="single"/>
                </w:rPr>
                <w:t>61</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75">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75">
              <w:r>
                <w:rPr>
                  <w:rStyle w:val="InternetLink"/>
                  <w:rFonts w:ascii="Times New Roman;sans-serif" w:hAnsi="Times New Roman;sans-serif"/>
                  <w:b w:val="false"/>
                  <w:color w:val="0000FF"/>
                  <w:sz w:val="20"/>
                  <w:u w:val="single"/>
                </w:rPr>
                <w:t>63</w:t>
              </w:r>
            </w:hyperlink>
          </w:p>
        </w:tc>
      </w:tr>
      <w:tr>
        <w:trPr/>
        <w:tc>
          <w:tcPr>
            <w:tcW w:w="90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81">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81">
              <w:r>
                <w:rPr>
                  <w:rStyle w:val="InternetLink"/>
                  <w:rFonts w:ascii="Times New Roman;sans-serif" w:hAnsi="Times New Roman;sans-serif"/>
                  <w:b w:val="false"/>
                  <w:color w:val="0000FF"/>
                  <w:sz w:val="20"/>
                  <w:u w:val="single"/>
                </w:rPr>
                <w:t>63</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84">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84">
              <w:r>
                <w:rPr>
                  <w:rStyle w:val="InternetLink"/>
                  <w:rFonts w:ascii="Times New Roman;sans-serif" w:hAnsi="Times New Roman;sans-serif"/>
                  <w:b w:val="false"/>
                  <w:color w:val="0000FF"/>
                  <w:sz w:val="20"/>
                  <w:u w:val="single"/>
                </w:rPr>
                <w:t>64</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87">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87">
              <w:r>
                <w:rPr>
                  <w:rStyle w:val="InternetLink"/>
                  <w:rFonts w:ascii="Times New Roman;sans-serif" w:hAnsi="Times New Roman;sans-serif"/>
                  <w:b w:val="false"/>
                  <w:color w:val="0000FF"/>
                  <w:sz w:val="20"/>
                  <w:u w:val="single"/>
                </w:rPr>
                <w:t>65</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582">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582">
              <w:r>
                <w:rPr>
                  <w:rStyle w:val="InternetLink"/>
                  <w:rFonts w:ascii="Times New Roman;sans-serif" w:hAnsi="Times New Roman;sans-serif"/>
                  <w:b w:val="false"/>
                  <w:color w:val="0000FF"/>
                  <w:sz w:val="20"/>
                  <w:u w:val="single"/>
                </w:rPr>
                <w:t>65</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90">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90">
              <w:r>
                <w:rPr>
                  <w:rStyle w:val="InternetLink"/>
                  <w:rFonts w:ascii="Times New Roman;sans-serif" w:hAnsi="Times New Roman;sans-serif"/>
                  <w:b w:val="false"/>
                  <w:color w:val="0000FF"/>
                  <w:sz w:val="20"/>
                  <w:u w:val="single"/>
                </w:rPr>
                <w:t>66</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8b3518e3c94a59bc121a11843a1122_193">
              <w:r>
                <w:rPr>
                  <w:rStyle w:val="InternetLink"/>
                  <w:rFonts w:ascii="Times New Roman;sans-serif" w:hAnsi="Times New Roman;sans-serif"/>
                  <w:b w:val="false"/>
                  <w:color w:val="0000FF"/>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b3518e3c94a59bc121a11843a1122_193">
              <w:r>
                <w:rPr>
                  <w:rStyle w:val="InternetLink"/>
                  <w:rFonts w:ascii="Times New Roman;sans-serif" w:hAnsi="Times New Roman;sans-serif"/>
                  <w:b w:val="false"/>
                  <w:color w:val="0000FF"/>
                  <w:sz w:val="20"/>
                  <w:u w:val="single"/>
                </w:rPr>
                <w:t>66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StoneX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12"/>
        <w:gridCol w:w="2302"/>
        <w:gridCol w:w="2321"/>
        <w:gridCol w:w="196"/>
        <w:gridCol w:w="781"/>
        <w:gridCol w:w="109"/>
        <w:gridCol w:w="109"/>
        <w:gridCol w:w="109"/>
        <w:gridCol w:w="109"/>
        <w:gridCol w:w="200"/>
        <w:gridCol w:w="797"/>
        <w:gridCol w:w="160"/>
      </w:tblGrid>
      <w:tr>
        <w:trPr/>
        <w:tc>
          <w:tcPr>
            <w:tcW w:w="301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par value and share amounts)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securities and other assets segregated under federal and other regulations (including $4.8 million and $805.7 million at fair value at June 30, 2023 and September 30, 2022,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Collateralized transactions: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and receivables from broker-dealers, clearing organizations and counterparties, net (including $3,641.6 million and $2,817.2 million at fair value at June 30, 2023 and September 30, 2022,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6,842.6 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Receivable from clients, net (including $(0.1) million and $(0.5) million at fair value at June 30, 2023 and September 30, 2022,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receivable,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 (includes securities pledged as collateral that can be sold or repledged of $1,417.7 million and $2,372.3 million at June 30, 2023 and September 30, 2022,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Physical commodities inventory, net (including $275.2 million and $359.8 million at fair value at June 30, 2023 and September 30, 2022,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right of 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 and 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19,859.6 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LIABILITIES AND STOCKHOLDERS' EQUITY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liabilities (including $1.4 million and $0 at fair value at June 30, 2023 and September 30, 2022,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Clients (including $(296.5) million and $(1,392.4) million at fair value at June 30, 2023 and September 30, 2022,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Broker-dealers, clearing organizations and counterparties (including $3.2 million and $55.8 million at fair value at June 30, 2023 and September 30, 2022,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Lenders under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secured borrowings,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Collateralized transactions: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18,789.5 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$0.01 par value. Authorized 1,000,000 shares; no shares issued or outstanding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Authorized 30,000,000 shares; 23,356,948 issued and 20,749,625 outstanding at June 30, 2023 and 22,911,227 issued and 20,303,904 outstanding at September 30, 2022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in treasury, at cost. 2,607,323 shares at June 30, 2023 and September 30, 2022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7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19,859.6 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StoneX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Income Statements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9554" w:type="dxa"/>
        <w:jc w:val="center"/>
        <w:tblInd w:w="0" w:type="dxa"/>
        <w:tblLayout w:type="fixed"/>
        <w:tblCellMar>
          <w:top w:w="28" w:type="dxa"/>
          <w:left w:w="28" w:type="dxa"/>
          <w:bottom w:w="28" w:type="dxa"/>
          <w:right w:w="28" w:type="dxa"/>
        </w:tblCellMar>
      </w:tblPr>
      <w:tblGrid>
        <w:gridCol w:w="1513"/>
        <w:gridCol w:w="1330"/>
        <w:gridCol w:w="1341"/>
        <w:gridCol w:w="196"/>
        <w:gridCol w:w="781"/>
        <w:gridCol w:w="109"/>
        <w:gridCol w:w="109"/>
        <w:gridCol w:w="109"/>
        <w:gridCol w:w="109"/>
        <w:gridCol w:w="196"/>
        <w:gridCol w:w="781"/>
        <w:gridCol w:w="109"/>
        <w:gridCol w:w="109"/>
        <w:gridCol w:w="109"/>
        <w:gridCol w:w="109"/>
        <w:gridCol w:w="196"/>
        <w:gridCol w:w="781"/>
        <w:gridCol w:w="109"/>
        <w:gridCol w:w="109"/>
        <w:gridCol w:w="109"/>
        <w:gridCol w:w="109"/>
        <w:gridCol w:w="196"/>
        <w:gridCol w:w="781"/>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 and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on corporate funding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other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systems and market information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Non-trading technology and support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Occupancy and equipment rental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Travel and business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Communications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compensation and other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acquisition and other gain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tax</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number of common shares outstanding:</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19,529,843 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20,654,300 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20,109,992 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20,578,315 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19,984,898 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StoneX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8299" w:type="dxa"/>
        <w:jc w:val="center"/>
        <w:tblInd w:w="0" w:type="dxa"/>
        <w:tblLayout w:type="fixed"/>
        <w:tblCellMar>
          <w:top w:w="28" w:type="dxa"/>
          <w:left w:w="28" w:type="dxa"/>
          <w:bottom w:w="28" w:type="dxa"/>
          <w:right w:w="28" w:type="dxa"/>
        </w:tblCellMar>
      </w:tblPr>
      <w:tblGrid>
        <w:gridCol w:w="1266"/>
        <w:gridCol w:w="1110"/>
        <w:gridCol w:w="1119"/>
        <w:gridCol w:w="237"/>
        <w:gridCol w:w="564"/>
        <w:gridCol w:w="132"/>
        <w:gridCol w:w="132"/>
        <w:gridCol w:w="132"/>
        <w:gridCol w:w="132"/>
        <w:gridCol w:w="237"/>
        <w:gridCol w:w="564"/>
        <w:gridCol w:w="132"/>
        <w:gridCol w:w="109"/>
        <w:gridCol w:w="109"/>
        <w:gridCol w:w="109"/>
        <w:gridCol w:w="207"/>
        <w:gridCol w:w="589"/>
        <w:gridCol w:w="115"/>
        <w:gridCol w:w="115"/>
        <w:gridCol w:w="115"/>
        <w:gridCol w:w="115"/>
        <w:gridCol w:w="207"/>
        <w:gridCol w:w="589"/>
        <w:gridCol w:w="163"/>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gain/(loss), net of tax:</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Foreign currency translation adjustment </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gain/(loss), net of tax</w:t>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StoneX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9414" w:type="dxa"/>
        <w:jc w:val="center"/>
        <w:tblInd w:w="0" w:type="dxa"/>
        <w:tblLayout w:type="fixed"/>
        <w:tblCellMar>
          <w:top w:w="28" w:type="dxa"/>
          <w:left w:w="28" w:type="dxa"/>
          <w:bottom w:w="28" w:type="dxa"/>
          <w:right w:w="28" w:type="dxa"/>
        </w:tblCellMar>
      </w:tblPr>
      <w:tblGrid>
        <w:gridCol w:w="2555"/>
        <w:gridCol w:w="2243"/>
        <w:gridCol w:w="2252"/>
        <w:gridCol w:w="196"/>
        <w:gridCol w:w="691"/>
        <w:gridCol w:w="109"/>
        <w:gridCol w:w="109"/>
        <w:gridCol w:w="109"/>
        <w:gridCol w:w="109"/>
        <w:gridCol w:w="196"/>
        <w:gridCol w:w="691"/>
        <w:gridCol w:w="154"/>
      </w:tblGrid>
      <w:tr>
        <w:trPr/>
        <w:tc>
          <w:tcPr>
            <w:tcW w:w="255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used in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right of use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share-based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acquisition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and other assets segregated under federal and other regulations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and receivables from broker-dealers, clearing organizations, and counterparties,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clients,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receivable,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Physical commodities inventory,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clients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broker-dealers, clearing organizations, and counterparties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businesses and assets, net of cash received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 of exchange memberships and common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payables to lenders under loans with maturities 90 days or less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payables to lenders under loans with maturities greater than 90 days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Repayments of payables to lenders under loans with maturities greater than 90 days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senior secured term loan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payments on acquisitions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contingent consideration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in)/provided by financing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rates on cash, segregated cash, cash equivalents, and segregated cash equivalents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segregated cash, cash equivalents, and segregated cash equivalents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segregated cash, cash equivalents, and segregated cash equivalents at 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segregated cash, cash equivalents, and segregated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 net of cash refunds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non-cash investing and financing activities:</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Identified intangible assets and goodwill on acquisitions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consideration payable related to acquisitions, net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business:</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 acquired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assumed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net assets acquired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StoneX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reconciliation of cash, segregated cash, cash equivalents, and segregated cash equivalents reported within the Condensed Consolidated Balance Sheets. </w:t>
      </w:r>
    </w:p>
    <w:tbl>
      <w:tblPr>
        <w:tblW w:w="10205" w:type="dxa"/>
        <w:jc w:val="center"/>
        <w:tblInd w:w="0" w:type="dxa"/>
        <w:tblLayout w:type="fixed"/>
        <w:tblCellMar>
          <w:top w:w="28" w:type="dxa"/>
          <w:left w:w="28" w:type="dxa"/>
          <w:bottom w:w="28" w:type="dxa"/>
          <w:right w:w="28" w:type="dxa"/>
        </w:tblCellMar>
      </w:tblPr>
      <w:tblGrid>
        <w:gridCol w:w="2923"/>
        <w:gridCol w:w="2463"/>
        <w:gridCol w:w="2454"/>
        <w:gridCol w:w="196"/>
        <w:gridCol w:w="691"/>
        <w:gridCol w:w="109"/>
        <w:gridCol w:w="109"/>
        <w:gridCol w:w="109"/>
        <w:gridCol w:w="109"/>
        <w:gridCol w:w="196"/>
        <w:gridCol w:w="691"/>
        <w:gridCol w:w="155"/>
      </w:tblGrid>
      <w:tr>
        <w:trPr/>
        <w:tc>
          <w:tcPr>
            <w:tcW w:w="292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7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Cash segregated under federal and other regulations</w:t>
            </w:r>
            <w:r>
              <w:rPr>
                <w:rFonts w:ascii="Times New Roman;sans-serif" w:hAnsi="Times New Roman;sans-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Securities segregated under federal and other regulations</w:t>
            </w:r>
            <w:r>
              <w:rPr>
                <w:rFonts w:ascii="Times New Roman;sans-serif" w:hAnsi="Times New Roman;sans-serif"/>
                <w:b w:val="false"/>
                <w:color w:val="000000"/>
                <w:sz w:val="10"/>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Cash segregated and deposited with or pledged to exchange-clearing organizations and other futures commission merchants (“FCMs”)</w:t>
            </w:r>
            <w:r>
              <w:rPr>
                <w:rFonts w:ascii="Times New Roman;sans-serif" w:hAnsi="Times New Roman;sans-serif"/>
                <w:b w:val="false"/>
                <w:color w:val="000000"/>
                <w:sz w:val="10"/>
              </w:rPr>
              <w:t>(2)</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Securities segregated and pledged to exchange-clearing organizations</w:t>
            </w:r>
            <w:r>
              <w:rPr>
                <w:rFonts w:ascii="Times New Roman;sans-serif" w:hAnsi="Times New Roman;sans-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segregated cash, cash equivalents, and segregated cash equivalents shown in the condensed consolidated statements of cash flows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Represents segregated client cash held at third-party banks. Excludes segregated commodity warehouse receipts, segregated U.S. Treasury obligations with original or acquired maturities of greater than 90 days, and other assets of $4.8 million and $21.4 million as of June 30, 2023 and 2022, respectively, included within </w:t>
      </w:r>
      <w:r>
        <w:rPr>
          <w:rFonts w:ascii="Times New Roman;sans-serif" w:hAnsi="Times New Roman;sans-serif"/>
          <w:b w:val="false"/>
          <w:i/>
          <w:color w:val="000000"/>
          <w:sz w:val="18"/>
        </w:rPr>
        <w:t>Cash, securities and other assets segregated under federal and other regulations</w:t>
      </w:r>
      <w:r>
        <w:rPr>
          <w:color w:val="000000"/>
        </w:rPr>
        <w:t xml:space="preserve"> </w:t>
      </w:r>
      <w:r>
        <w:rPr>
          <w:rFonts w:ascii="Times New Roman;sans-serif" w:hAnsi="Times New Roman;sans-serif"/>
          <w:b w:val="false"/>
          <w:color w:val="000000"/>
          <w:sz w:val="18"/>
        </w:rPr>
        <w:t xml:space="preserve">on the Condensed Consolidated Balance Sheets.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 xml:space="preserve">Represents segregated client cash and U.S. Treasury obligations on deposit with, or pledged to, exchange clearing organizations and other FCMs. Excludes non-segregated cash, segregated U.S. Treasury obligations pledged to exchange-clearing organizations with original or acquired maturities greater than 90 days, and other assets of $5,408.0 million and $5,084.6 million as of June 30, 2023 and 2022, respectively, included within </w:t>
      </w:r>
      <w:r>
        <w:rPr>
          <w:rFonts w:ascii="Times New Roman;sans-serif" w:hAnsi="Times New Roman;sans-serif"/>
          <w:b w:val="false"/>
          <w:i/>
          <w:color w:val="000000"/>
          <w:sz w:val="18"/>
        </w:rPr>
        <w:t>Deposits with and receivables from broker-dealers, clearing organizations, and counterparties, net</w:t>
      </w:r>
      <w:r>
        <w:rPr>
          <w:color w:val="000000"/>
        </w:rPr>
        <w:t xml:space="preserve"> </w:t>
      </w:r>
      <w:r>
        <w:rPr>
          <w:rFonts w:ascii="Times New Roman;sans-serif" w:hAnsi="Times New Roman;sans-serif"/>
          <w:b w:val="false"/>
          <w:color w:val="000000"/>
          <w:sz w:val="18"/>
        </w:rPr>
        <w:t xml:space="preserve">on the Condensed Consolidated Balance Sheets. </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StoneX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04"/>
        <w:gridCol w:w="398"/>
        <w:gridCol w:w="399"/>
        <w:gridCol w:w="261"/>
        <w:gridCol w:w="501"/>
        <w:gridCol w:w="147"/>
        <w:gridCol w:w="109"/>
        <w:gridCol w:w="109"/>
        <w:gridCol w:w="109"/>
        <w:gridCol w:w="223"/>
        <w:gridCol w:w="575"/>
        <w:gridCol w:w="124"/>
        <w:gridCol w:w="109"/>
        <w:gridCol w:w="109"/>
        <w:gridCol w:w="109"/>
        <w:gridCol w:w="277"/>
        <w:gridCol w:w="787"/>
        <w:gridCol w:w="155"/>
        <w:gridCol w:w="109"/>
        <w:gridCol w:w="109"/>
        <w:gridCol w:w="109"/>
        <w:gridCol w:w="234"/>
        <w:gridCol w:w="665"/>
        <w:gridCol w:w="130"/>
        <w:gridCol w:w="109"/>
        <w:gridCol w:w="109"/>
        <w:gridCol w:w="109"/>
        <w:gridCol w:w="458"/>
        <w:gridCol w:w="1126"/>
        <w:gridCol w:w="255"/>
        <w:gridCol w:w="109"/>
        <w:gridCol w:w="109"/>
        <w:gridCol w:w="109"/>
        <w:gridCol w:w="196"/>
        <w:gridCol w:w="691"/>
        <w:gridCol w:w="164"/>
      </w:tblGrid>
      <w:tr>
        <w:trPr/>
        <w:tc>
          <w:tcPr>
            <w:tcW w:w="80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March 31, 2022</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June 30, 2022</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805"/>
        <w:gridCol w:w="391"/>
        <w:gridCol w:w="393"/>
        <w:gridCol w:w="258"/>
        <w:gridCol w:w="496"/>
        <w:gridCol w:w="145"/>
        <w:gridCol w:w="109"/>
        <w:gridCol w:w="109"/>
        <w:gridCol w:w="109"/>
        <w:gridCol w:w="222"/>
        <w:gridCol w:w="570"/>
        <w:gridCol w:w="123"/>
        <w:gridCol w:w="109"/>
        <w:gridCol w:w="109"/>
        <w:gridCol w:w="109"/>
        <w:gridCol w:w="272"/>
        <w:gridCol w:w="774"/>
        <w:gridCol w:w="152"/>
        <w:gridCol w:w="109"/>
        <w:gridCol w:w="109"/>
        <w:gridCol w:w="109"/>
        <w:gridCol w:w="219"/>
        <w:gridCol w:w="775"/>
        <w:gridCol w:w="122"/>
        <w:gridCol w:w="109"/>
        <w:gridCol w:w="109"/>
        <w:gridCol w:w="109"/>
        <w:gridCol w:w="449"/>
        <w:gridCol w:w="1103"/>
        <w:gridCol w:w="250"/>
        <w:gridCol w:w="109"/>
        <w:gridCol w:w="109"/>
        <w:gridCol w:w="109"/>
        <w:gridCol w:w="196"/>
        <w:gridCol w:w="691"/>
        <w:gridCol w:w="164"/>
      </w:tblGrid>
      <w:tr>
        <w:trPr/>
        <w:tc>
          <w:tcPr>
            <w:tcW w:w="8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March 31, 2023</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gain, net of tax</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June 30, 2023</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3"/>
        <w:gridCol w:w="449"/>
        <w:gridCol w:w="400"/>
        <w:gridCol w:w="261"/>
        <w:gridCol w:w="501"/>
        <w:gridCol w:w="147"/>
        <w:gridCol w:w="109"/>
        <w:gridCol w:w="109"/>
        <w:gridCol w:w="109"/>
        <w:gridCol w:w="223"/>
        <w:gridCol w:w="575"/>
        <w:gridCol w:w="124"/>
        <w:gridCol w:w="109"/>
        <w:gridCol w:w="109"/>
        <w:gridCol w:w="109"/>
        <w:gridCol w:w="277"/>
        <w:gridCol w:w="787"/>
        <w:gridCol w:w="155"/>
        <w:gridCol w:w="109"/>
        <w:gridCol w:w="109"/>
        <w:gridCol w:w="109"/>
        <w:gridCol w:w="234"/>
        <w:gridCol w:w="665"/>
        <w:gridCol w:w="130"/>
        <w:gridCol w:w="109"/>
        <w:gridCol w:w="109"/>
        <w:gridCol w:w="109"/>
        <w:gridCol w:w="458"/>
        <w:gridCol w:w="1126"/>
        <w:gridCol w:w="255"/>
        <w:gridCol w:w="109"/>
        <w:gridCol w:w="109"/>
        <w:gridCol w:w="109"/>
        <w:gridCol w:w="196"/>
        <w:gridCol w:w="691"/>
        <w:gridCol w:w="163"/>
      </w:tblGrid>
      <w:tr>
        <w:trPr/>
        <w:tc>
          <w:tcPr>
            <w:tcW w:w="75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2022</w:t>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September 30, 2021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June 30, 2022</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753"/>
        <w:gridCol w:w="443"/>
        <w:gridCol w:w="393"/>
        <w:gridCol w:w="258"/>
        <w:gridCol w:w="496"/>
        <w:gridCol w:w="145"/>
        <w:gridCol w:w="109"/>
        <w:gridCol w:w="109"/>
        <w:gridCol w:w="109"/>
        <w:gridCol w:w="222"/>
        <w:gridCol w:w="570"/>
        <w:gridCol w:w="123"/>
        <w:gridCol w:w="109"/>
        <w:gridCol w:w="109"/>
        <w:gridCol w:w="109"/>
        <w:gridCol w:w="272"/>
        <w:gridCol w:w="774"/>
        <w:gridCol w:w="152"/>
        <w:gridCol w:w="109"/>
        <w:gridCol w:w="109"/>
        <w:gridCol w:w="109"/>
        <w:gridCol w:w="219"/>
        <w:gridCol w:w="775"/>
        <w:gridCol w:w="122"/>
        <w:gridCol w:w="109"/>
        <w:gridCol w:w="109"/>
        <w:gridCol w:w="109"/>
        <w:gridCol w:w="449"/>
        <w:gridCol w:w="1103"/>
        <w:gridCol w:w="250"/>
        <w:gridCol w:w="109"/>
        <w:gridCol w:w="109"/>
        <w:gridCol w:w="109"/>
        <w:gridCol w:w="196"/>
        <w:gridCol w:w="691"/>
        <w:gridCol w:w="164"/>
      </w:tblGrid>
      <w:tr>
        <w:trPr/>
        <w:tc>
          <w:tcPr>
            <w:tcW w:w="75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2023</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Paid-in 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September 30, 2022</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gain, net of tax</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June 30, 2023</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365.1 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StoneX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 – Basis of Presentation and Consolidation and Accounting Standards Adopted </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StoneX Group Inc., a Delaware corporation, and its consolidated subsidiaries (collectively “StoneX” or “the Company”), is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to its clients, providing its network, products and services to allow them to pursue trading opportunities, manage their market risks, make investments and improve their business performance. The Company offers a vertically integrated product suite, beginning with high-touch and electronic access to nearly all major financial markets worldwide, as well as numerous liquidity venues. The Company delivers access and services through the entire lifecycle of a trade, by delivering deep market expertise and on-the-ground intelligence, best execution, and finally post-trade clearing, custody, as well as settlement services. The Company has created revenue streams, diversified by asset class, client type and geography, that earn commissions and spreads as clients execute transactions across its financial network, while monetizing non-trading client activity including interest and fee earnings on client balances as well as earning consulting fees for market intelligence and risk management services.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its services to a diverse group of clients in more than 180 countries. These clients include more than 54,000 commercial, institutional, and global payments clients and over 400,000 retail clients. The Company’s clients include commercial entities, asset managers, regional, national and introducing broker-dealers, insurance companies, brokers, institutional investors and professional traders, commercial and investment banks and government and non-governmental organizations (“NGOs”).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common stock trades on The NASDAQ Global Select Market under the symbol “SNEX”.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Balance Sheet as of September 30, 2022, which has been derived from the audited consolidated balance sheet of September 30, 2022, and the unaudited interim condensed consolidated financial statements have been prepared pursuant to the rules and regulations of the Securities and Exchange Commission (“SEC”). Certain information and disclosures normally included in annual consolidated financial statements prepared in accordance with accounting principles generally accepted in the United States of America (“U.S. GAAP”) have been condensed or omitted pursuant to those rules and regulations. The Company believes that the included disclosures clearly and fairly present the information within. In management’s opinion, all adjustments, generally consisting of normal accruals, considered necessary to fairly present the condensed consolidated financial statements for the interim periods presented have been reflected as required by Rule 10-01 of Regulation S-X.</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for interim periods are not necessarily indicative of the results that may be expected for the related full year. These condensed consolidated financial statements should be read in conjunction with the Company’s audited consolidated financial statements and related notes contained in the Company’s Annual Report on Form 10-K for the fiscal year ended September 30, 2022, as filed with the SEC.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include the accounts of StoneX Group Inc. and all entities in which the Company has a controlling financial interest. All material intercompany transactions and balances have been eliminated in consolidation.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 is September 30, and its fiscal quarters end on December 31, March 31, June 30 and September 30. Unless otherwise stated, all dates refer to fiscal years and fiscal interim periods.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Preparing condensed consolidated financial statements in conformity with U.S. GAAP requires management to make estimates and assumptions that affect the reported amounts of assets and liabilities, disclosure of contingent liabilities as of the date of the condensed consolidated financial statements and the reported amounts of revenue and expenses during the reporting period. The most significant of these estimates and assumptions relate to fair value measurement for financial instruments, revenue recognition, valuation of inventories, and income taxes. These estimates are based on management’s best knowledge of current events and actions the Company may undertake in the future. The Company reviews all significant estimates affecting the financial statements on a recurring basis and records the effect of any necessary adjustments prior to financial statement issuance. Although these and other estimates and assumptions are based on the best available information, actual results could be materially different from these estimates. Estimates and assumptions were considered and made in context with the information reasonably available to the Company as of June 30, 2023 and through the date of this Form 10-Q.</w:t>
      </w:r>
    </w:p>
    <w:p>
      <w:pPr>
        <w:pStyle w:val="TextBody"/>
        <w:bidi w:val="0"/>
        <w:spacing w:lineRule="auto" w:line="288" w:before="120" w:after="120"/>
        <w:jc w:val="left"/>
        <w:rPr/>
      </w:pPr>
      <w:r>
        <w:rPr>
          <w:rFonts w:ascii="Times New Roman;sans-serif" w:hAnsi="Times New Roman;sans-serif"/>
          <w:b w:val="false"/>
          <w:color w:val="000000"/>
          <w:sz w:val="20"/>
        </w:rPr>
        <w:t xml:space="preserve">In the Condensed Consolidated Income Statements, the total revenues reported combine gross revenues for the physical commodities business and net revenues for all other businesses. The subtotal </w:t>
      </w:r>
      <w:r>
        <w:rPr>
          <w:rFonts w:ascii="Times New Roman;sans-serif" w:hAnsi="Times New Roman;sans-serif"/>
          <w:b w:val="false"/>
          <w:i/>
          <w:color w:val="000000"/>
          <w:sz w:val="20"/>
        </w:rPr>
        <w:t>Operating revenues</w:t>
      </w:r>
      <w:r>
        <w:rPr>
          <w:color w:val="000000"/>
        </w:rPr>
        <w:t xml:space="preserve"> </w:t>
      </w:r>
      <w:r>
        <w:rPr>
          <w:rFonts w:ascii="Times New Roman;sans-serif" w:hAnsi="Times New Roman;sans-serif"/>
          <w:b w:val="false"/>
          <w:color w:val="000000"/>
          <w:sz w:val="20"/>
        </w:rPr>
        <w:t xml:space="preserve">in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val="false"/>
          <w:color w:val="000000"/>
          <w:sz w:val="20"/>
        </w:rPr>
        <w:t xml:space="preserve">Consolidated Income Statements is calculated by deducting </w:t>
      </w:r>
      <w:r>
        <w:rPr>
          <w:rFonts w:ascii="Times New Roman;sans-serif" w:hAnsi="Times New Roman;sans-serif"/>
          <w:b w:val="false"/>
          <w:i/>
          <w:color w:val="000000"/>
          <w:sz w:val="20"/>
        </w:rPr>
        <w:t>Cost of sales of physical commodities</w:t>
      </w:r>
      <w:r>
        <w:rPr>
          <w:color w:val="000000"/>
        </w:rPr>
        <w:t xml:space="preserve"> </w:t>
      </w:r>
      <w:r>
        <w:rPr>
          <w:rFonts w:ascii="Times New Roman;sans-serif" w:hAnsi="Times New Roman;sans-serif"/>
          <w:b w:val="false"/>
          <w:color w:val="000000"/>
          <w:sz w:val="20"/>
        </w:rPr>
        <w:t xml:space="preserve">from </w:t>
      </w:r>
      <w:r>
        <w:rPr>
          <w:rFonts w:ascii="Times New Roman;sans-serif" w:hAnsi="Times New Roman;sans-serif"/>
          <w:b w:val="false"/>
          <w:i/>
          <w:color w:val="000000"/>
          <w:sz w:val="20"/>
        </w:rPr>
        <w:t>Total revenues</w:t>
      </w:r>
      <w:r>
        <w:rPr>
          <w:rFonts w:ascii="Times New Roman;sans-serif" w:hAnsi="Times New Roman;sans-serif"/>
          <w:b w:val="false"/>
          <w:color w:val="000000"/>
          <w:sz w:val="20"/>
        </w:rPr>
        <w:t xml:space="preserve">. The subtotal </w:t>
      </w:r>
      <w:r>
        <w:rPr>
          <w:rFonts w:ascii="Times New Roman;sans-serif" w:hAnsi="Times New Roman;sans-serif"/>
          <w:b w:val="false"/>
          <w:i/>
          <w:color w:val="000000"/>
          <w:sz w:val="20"/>
        </w:rPr>
        <w:t>Net operating revenues</w:t>
      </w:r>
      <w:r>
        <w:rPr>
          <w:color w:val="000000"/>
        </w:rPr>
        <w:t xml:space="preserve"> </w:t>
      </w:r>
      <w:r>
        <w:rPr>
          <w:rFonts w:ascii="Times New Roman;sans-serif" w:hAnsi="Times New Roman;sans-serif"/>
          <w:b w:val="false"/>
          <w:color w:val="000000"/>
          <w:sz w:val="20"/>
        </w:rPr>
        <w:t xml:space="preserve">in the Condensed Consolidated Income Statements is calculated as </w:t>
      </w:r>
      <w:r>
        <w:rPr>
          <w:rFonts w:ascii="Times New Roman;sans-serif" w:hAnsi="Times New Roman;sans-serif"/>
          <w:b w:val="false"/>
          <w:i/>
          <w:color w:val="000000"/>
          <w:sz w:val="20"/>
        </w:rPr>
        <w:t>Operating revenues</w:t>
      </w:r>
      <w:r>
        <w:rPr>
          <w:color w:val="000000"/>
        </w:rPr>
        <w:t xml:space="preserve"> </w:t>
      </w:r>
      <w:r>
        <w:rPr>
          <w:rFonts w:ascii="Times New Roman;sans-serif" w:hAnsi="Times New Roman;sans-serif"/>
          <w:b w:val="false"/>
          <w:color w:val="000000"/>
          <w:sz w:val="20"/>
        </w:rPr>
        <w:t xml:space="preserve">less </w:t>
      </w:r>
      <w:r>
        <w:rPr>
          <w:rFonts w:ascii="Times New Roman;sans-serif" w:hAnsi="Times New Roman;sans-serif"/>
          <w:b w:val="false"/>
          <w:i/>
          <w:color w:val="000000"/>
          <w:sz w:val="20"/>
        </w:rPr>
        <w:t>Transaction-based clearing expenses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Introducing broker commissions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Interest expense on corporate funding</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Transaction-based clearing expenses</w:t>
      </w:r>
      <w:r>
        <w:rPr>
          <w:color w:val="000000"/>
        </w:rPr>
        <w:t xml:space="preserve"> </w:t>
      </w:r>
      <w:r>
        <w:rPr>
          <w:rFonts w:ascii="Times New Roman;sans-serif" w:hAnsi="Times New Roman;sans-serif"/>
          <w:b w:val="false"/>
          <w:color w:val="000000"/>
          <w:sz w:val="20"/>
        </w:rPr>
        <w:t xml:space="preserve">represent variable expenses paid to executing brokers, exchanges, clearing organizations and banks in relation to transactional volumes. </w:t>
      </w:r>
      <w:r>
        <w:rPr>
          <w:rFonts w:ascii="Times New Roman;sans-serif" w:hAnsi="Times New Roman;sans-serif"/>
          <w:b w:val="false"/>
          <w:i/>
          <w:color w:val="000000"/>
          <w:sz w:val="20"/>
        </w:rPr>
        <w:t>Introducing broker commissions</w:t>
      </w:r>
      <w:r>
        <w:rPr>
          <w:color w:val="000000"/>
        </w:rPr>
        <w:t xml:space="preserve"> </w:t>
      </w:r>
      <w:r>
        <w:rPr>
          <w:rFonts w:ascii="Times New Roman;sans-serif" w:hAnsi="Times New Roman;sans-serif"/>
          <w:b w:val="false"/>
          <w:color w:val="000000"/>
          <w:sz w:val="20"/>
        </w:rPr>
        <w:t xml:space="preserve">include commission paid to certain non-employee third parties that have introduced clients to the Company. </w:t>
      </w:r>
      <w:r>
        <w:rPr>
          <w:rFonts w:ascii="Times New Roman;sans-serif" w:hAnsi="Times New Roman;sans-serif"/>
          <w:b w:val="false"/>
          <w:i/>
          <w:color w:val="000000"/>
          <w:sz w:val="20"/>
        </w:rPr>
        <w:t>Net operating revenues</w:t>
      </w:r>
      <w:r>
        <w:rPr>
          <w:color w:val="000000"/>
        </w:rPr>
        <w:t xml:space="preserve"> </w:t>
      </w:r>
      <w:r>
        <w:rPr>
          <w:rFonts w:ascii="Times New Roman;sans-serif" w:hAnsi="Times New Roman;sans-serif"/>
          <w:b w:val="false"/>
          <w:color w:val="000000"/>
          <w:sz w:val="20"/>
        </w:rPr>
        <w:t xml:space="preserve">represent revenues available to pay variable compensation to risk management consultants and traders, direct non-variable expenses, as well as variable and non-variable expenses to operational and administrative employees.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Gain on acquisition and other gain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Gain on acquisition contains the value that the Company acquired in excess of consideration paid for business combinations. More details can be found in Note 17.</w:t>
      </w:r>
    </w:p>
    <w:p>
      <w:pPr>
        <w:pStyle w:val="TextBody"/>
        <w:bidi w:val="0"/>
        <w:spacing w:lineRule="auto" w:line="288" w:before="120" w:after="100"/>
        <w:jc w:val="left"/>
        <w:rPr>
          <w:rFonts w:ascii="Times New Roman;sans-serif" w:hAnsi="Times New Roman;sans-serif"/>
          <w:b/>
          <w:i/>
          <w:color w:val="000000"/>
          <w:sz w:val="20"/>
        </w:rPr>
      </w:pPr>
      <w:r>
        <w:rPr>
          <w:rFonts w:ascii="Times New Roman;sans-serif" w:hAnsi="Times New Roman;sans-serif"/>
          <w:b/>
          <w:i/>
          <w:color w:val="000000"/>
          <w:sz w:val="20"/>
        </w:rPr>
        <w:t xml:space="preserve">Accounting Standards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adopt any new accounting standards during the three and nine months ended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2 – Earnings per Share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basic and diluted earnings per share (“EPS”) using the two-class method, which requires all outstanding unvested share-based payment awards that contain rights to non-forfeitable dividends and therefore participate in undistributed earnings with common stockholders be included in computing earnings per share. Under the two-class method, net income is reduced by the amount of dividends declared in the period for each class of common stock and participating security. The remaining undistributed earnings are then allocated to common stock and participating securities, based on their respective rights to receive dividends. Restricted stock awards granted to certain employees and directors contain non-forfeitable rights to dividends at the same rate as common stock and are considered participating securities. Basic EPS has been computed by dividing net income by the weighted-average number of common shares outstanding.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numerator and denominator of the diluted earnings per share computations for the periods presented below.</w:t>
      </w:r>
    </w:p>
    <w:tbl>
      <w:tblPr>
        <w:tblW w:w="8799" w:type="dxa"/>
        <w:jc w:val="left"/>
        <w:tblInd w:w="0" w:type="dxa"/>
        <w:tblLayout w:type="fixed"/>
        <w:tblCellMar>
          <w:top w:w="28" w:type="dxa"/>
          <w:left w:w="28" w:type="dxa"/>
          <w:bottom w:w="28" w:type="dxa"/>
          <w:right w:w="28" w:type="dxa"/>
        </w:tblCellMar>
      </w:tblPr>
      <w:tblGrid>
        <w:gridCol w:w="1209"/>
        <w:gridCol w:w="1063"/>
        <w:gridCol w:w="1073"/>
        <w:gridCol w:w="284"/>
        <w:gridCol w:w="677"/>
        <w:gridCol w:w="132"/>
        <w:gridCol w:w="132"/>
        <w:gridCol w:w="132"/>
        <w:gridCol w:w="132"/>
        <w:gridCol w:w="284"/>
        <w:gridCol w:w="677"/>
        <w:gridCol w:w="132"/>
        <w:gridCol w:w="109"/>
        <w:gridCol w:w="109"/>
        <w:gridCol w:w="109"/>
        <w:gridCol w:w="250"/>
        <w:gridCol w:w="711"/>
        <w:gridCol w:w="115"/>
        <w:gridCol w:w="115"/>
        <w:gridCol w:w="115"/>
        <w:gridCol w:w="115"/>
        <w:gridCol w:w="250"/>
        <w:gridCol w:w="711"/>
        <w:gridCol w:w="163"/>
      </w:tblGrid>
      <w:tr>
        <w:trPr/>
        <w:tc>
          <w:tcPr>
            <w:tcW w:w="12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 amounts)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Numerator:</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Allocation to participating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allocated to common stockholders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Denominator:</w:t>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number of:</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20,040,167 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19,634,450 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19,913,424 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19,529,843 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Dilutive potential common shares outstanding:</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614,133 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475,542 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664,891 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455,055 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weighted-average common shares</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20,654,300 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20,109,992 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20,578,315 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19,984,898 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dilutive effect of share-based awards is reflected in diluted net income per share by applying the treasury stock method, which includes consideration of unamortized share-based compensation expense. </w:t>
      </w:r>
    </w:p>
    <w:p>
      <w:pPr>
        <w:pStyle w:val="TextBody"/>
        <w:bidi w:val="0"/>
        <w:spacing w:lineRule="auto" w:line="288" w:before="120" w:after="180"/>
        <w:jc w:val="left"/>
        <w:rPr/>
      </w:pPr>
      <w:r>
        <w:rPr>
          <w:rFonts w:ascii="Times New Roman;sans-serif" w:hAnsi="Times New Roman;sans-serif"/>
          <w:b w:val="false"/>
          <w:color w:val="000000"/>
          <w:sz w:val="20"/>
        </w:rPr>
        <w:t xml:space="preserve">Options to purchase 288,745 and 443,275 shares of common stock for the three months ended June 30, 2023 and 2022, respectively, were excluded from the calculation of diluted earnings per share as they would have been anti-dilutive. Options to purchase </w:t>
      </w:r>
      <w:r>
        <w:rPr>
          <w:rFonts w:ascii="Times New Roman;sans-serif" w:hAnsi="Times New Roman;sans-serif"/>
          <w:b w:val="false"/>
          <w:color w:val="000000"/>
          <w:sz w:val="20"/>
          <w:shd w:fill="FFFFFF" w:val="clear"/>
        </w:rPr>
        <w:t>249,877 and 463,991 shares of common stock for the nine months ended June 30, 2023 and 2022, respectively, were excluded from the</w:t>
      </w:r>
      <w:r>
        <w:rPr>
          <w:color w:val="000000"/>
        </w:rPr>
        <w:t xml:space="preserve"> </w:t>
      </w:r>
      <w:r>
        <w:rPr>
          <w:rFonts w:ascii="Times New Roman;sans-serif" w:hAnsi="Times New Roman;sans-serif"/>
          <w:b w:val="false"/>
          <w:color w:val="000000"/>
          <w:sz w:val="20"/>
        </w:rPr>
        <w:t>calculation of diluted earnings per share as they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3 – Assets and Liabilities, at Fair Value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by U.S. GAAP as the exchange price that would be received for an asset or paid to transfer a liability (an exit price) in the principal or most advantageous market for the asset or liability in an orderly transaction between willing market participants on the measurement date.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a market-based measure considered from the perspective of a market participant rather than an entity-specific measure. Even when market assumptions are not readily available, the Company is required to develop a set of assumptions that reflect those that market participants would use in pricing an asset or liability at the measurement date. The Company uses prices and inputs that are current as of measurement date, including periods of market dislocation. In periods of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dislocation, the observability of prices and inputs may be reduced for many securities. This condition could cause a security to be reclassified to a lower level within the fair value hierarchy.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designed independent price verification controls and periodically performs such controls to ensure the reasonableness of such values.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and nonfinancial assets and liabilities are classified in their entirety based on the lowest level of input that is significant to the fair value measurement. The hierarchy gives the highest priority to unadjusted quoted prices in active markets for identical assets or liabilities (Level 1 measurements) and the lowest priority to unobservable inputs (Level 3 measurements). A market is active if there are sufficient transactions on an ongoing basis to provide current pricing information for the asset or liability, pricing information is released publicly, and price quotations do not vary substantially either over time or among market participants. Observable inputs reflect the assumptions market participants would use in pricing the asset or liability developed based on market data obtained from sources independent of the reporting entity.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Relevant guidance requires the Company to consider counterparty credit risk of all parties to outstanding derivative instruments that would be considered by a market participant in the transfer or settlement of such contracts (exit price). The Company’s exposure to credit risk on derivative financial instruments principally relates to the portfolio of Over-the-counter (“OTC”) derivative contracts as all exchange-traded contracts held can be settled on an active market with a credit guarantee from the respective exchange. The Company requires each counterparty to deposit margin collateral for all OTC instruments and is also required to deposit margin collateral with counterparties. The Company has assessed the nature of these deposits and used its discretion to adjust each based on the underlying credit considerations for the counterparty and determined that the collateral deposits minimize the exposure to counterparty credit risk in the evaluation of the fair value of OTC instruments as determined by a market participant.</w:t>
      </w:r>
    </w:p>
    <w:p>
      <w:pPr>
        <w:pStyle w:val="TextBody"/>
        <w:bidi w:val="0"/>
        <w:spacing w:lineRule="auto" w:line="288" w:before="120" w:after="120"/>
        <w:jc w:val="left"/>
        <w:rPr/>
      </w:pPr>
      <w:r>
        <w:rPr>
          <w:rFonts w:ascii="Times New Roman;sans-serif" w:hAnsi="Times New Roman;sans-serif"/>
          <w:b w:val="false"/>
          <w:color w:val="000000"/>
          <w:sz w:val="20"/>
        </w:rPr>
        <w:t xml:space="preserve">In accordance with Financial Accounting Standards Board (“FASB”) Accounting Standards Codification (“ASC”)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the Company groups its assets and liabilities measured at fair value in three levels based on the markets in which the assets and liabilities are traded and the reliability of the assumptions used to determine fair value. These levels are: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Level 1 - Valuation is based upon unadjusted quoted prices in active markets that are accessible at the measurement date for identical, unrestricted assets or liabilities. Level 1 consists of financial assets and liabilities whose fair values are estimated using quoted market prices.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Valuation is based upon quoted prices for identical or similar assets or liabilities in markets that are less active, that is, markets in which there are few transactions for the asset or liability that are observable for substantially the full term. Included in Level 2 are those financial assets and liabilities for which fair values are estimated using models or other valuation methodologies. These models are primarily industry-standard models that consider various observable inputs, including time value, yield curve, volatility factors, observable current market and contractual prices for the underlying financial instruments, as well as other relevant economic measures.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Valuation is based on prices or valuation techniques that require inputs that are both significant to the fair value measurement and unobservable (i.e., supported by little or no market activity). Level 3 comprises financial assets and liabilities whose fair value is estimated based on internally developed models or methodologies utilizing significant inputs that are not readily observable from objective sources. Level 3 includes contingent liabilities that have been valued using an income approach based upon management developed discounted cash flow projections, which are an unobservable input.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contingent liabilities as of June 30, 2023 and September 30, 2022, respectively. The Company had certain options related to business combinations and certain deferred acquisition consideration classified as Level 3 assets as of June 30, 2023 and no Level 3 assets as of September 30, 2022.</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Fair value of financial and nonfinancial assets and liabilities that are carried on the Condensed Consolidated Balance Sheets at fair value on a recurring basis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reported at fair value on a recurring basis includes certificates of deposit and money market mutual funds, which are stated at cost plus accrued interest, which approximates fair value.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securities and other assets segregated under federal and other regulations reported at fair value on a recurring basis include the value of pledged investments, primarily U.S. Treasury obligations and commodities warehouse receipts.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with and receivables from broker-dealers, clearing organizations and counterparties and payable to clients and broker-dealers, clearing organizations and counterparties includes the fair value of pledged investments, primarily U.S. Treasury obligations and foreign government obligations. These balances also include the fair value of exchange-traded options on futures and OTC forwards, swaps and options.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owned and sold, not yet purchased include the fair value of equity securities, which includes common, preferred, and foreign ordinary shares, American Depository Receipts (“ADRs”), Global Depository Receipts (“GDRs”),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exchange-traded funds (“ETFs”), corporate and municipal bonds, U.S. Treasury obligations, U.S. government agency obligations, foreign government obligations, agency mortgage-backed obligations, asset-backed obligations, derivative financial instruments, commodities warehouse receipts, exchange firm common stock, and investments in managed funds. The fair value of exchange firm common stock is determined by quoted market prices.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debt and equity securities, commodities warehouse receipts, physical commodities inventory, derivative financial instruments and contingent liabilities are carried at fair value, on a recurring basis, and are classified and disclosed into three levels in the fair value hierarchy.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describes the valuation methodologies used by the Company to measure classes of financial instruments at fair value and specifies the level within the fair value hierarchy where various financial instruments are classified.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quoted prices in active markets, where available, and classifies instruments with such quotes within Level 1 of the fair value hierarchy. Examples include U.S. Treasury obligations, foreign government obligations, commodities warehouse receipts, certain equity securities traded in active markets, physical precious metals inventory held by a regulated broker-dealer subsidiary, exchange firm common stock, investments in managed funds, as well as options on futures contracts traded on national exchanges. The fair value of exchange firm common stock is determined by recent sale transactions and is included within Level 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instruments are traded in secondary markets and observable prices are not available for substantially the full term, the Company generally relies on internal valuation techniques based upon observable inputs for comparable financial instruments, or prices obtained from third-party pricing services or brokers or a combination thereof, and accordingly, classified these instruments as Level 2. Examples include corporate and municipal bonds, U.S. government agency obligations, agency-mortgage backed obligations, asset-backed obligations, certain equity securities traded in less active markets, and OTC derivative contracts, which include purchase and sale commitments related to the Company’s foreign exchange, agricultural, and energy commodities.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Certain derivatives without a quoted price in an active market and derivatives executed OTC are valued using internal valuation techniques, including pricing models which utilize significant inputs observable to market participants. The valuation techniques and inputs depend on the type of derivative and the nature of the underlying instrument. The key inputs depend upon the type of derivative and the nature of the underlying instrument and include interest yield curves, foreign exchange rates, commodity prices, volatilities and correlation. These derivative instruments are included within Level 2 of the fair value hierarchy.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commodities inventory includes precious metals that are a part of the trading activities of a regulated broker-dealer subsidiary and is recorded at fair value using exchange-quoted prices. Physical commodities inventory also includes agricultural commodities that are a part of the trading activities of a non-broker dealer subsidiary and are recorded at net realizable value using exchange-quoted prices. The fair value of precious metals physical commodities inventory is based upon unadjusted exchange-quoted prices and is, therefore, classified within Level 1 of the fair value hierarchy. The fair value of agricultural physical commodities inventory and the related OTC firm sale and purchase commitments are generally based upon exchange-quoted prices, adjusted for basis or differences in local markets, broker or dealer quotations or market transactions in either listed or OTC markets. Exchange-quoted prices are adjusted for location and quality because the exchange-quoted prices for agricultural and energy related products represent contracts that have standardized terms for commodity, quantity, future delivery period, delivery location, and commodity quality or grade. The basis or local market adjustments are observable inputs or have an insignificant impact on the measurement of fair value and, therefore, the agricultural physical commodities inventory, as well as the related OTC forward firm sale and purchase commitments have been included within Level 2 of the fair value hierarchy.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With the exception of certain derivative instruments where the valuation approach is disclosed above, financial instruments owned and sold are primarily valued using third-party pricing sources. Third-party pricing vendors compile prices from various sources and often apply matrix pricing for similar securities when market-observable transactions for the instruments are not observable for substantially the full term. The Company reviews the pricing methodologies used by third-party pricing vendors in order to evaluate the fair value hierarchy classification of vendor-priced financial instruments and the accuracy of vendor pricing, which typically involves comparing of primary vendor prices to internal trader prices or secondary vendor prices. When evaluating the propriety of vendor-priced financial instruments using secondary prices, considerations include the range and quality of vendor prices, level of observable transactions for identical and similar instruments, and judgments based upon knowledge of a particular market and asset class. If the primary vendor price does not represent fair value, justification for using a secondary price, including source data used to make the determination, is subject to review and approval by authorized personnel prior to using a secondary price. Financial instruments owned and sold that are valued using third party pricing sources are included within either Level 1 or Level 2 of the fair value hierarchy based upon the observability of the inputs used and the level of activity in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estimates presented herein are based on pertinent information available to management as of June 30, 2023 and September 30, 2022. Although management is not aware of any factors that would significantly affect the estimated fair value amounts, such amounts have not been comprehensively revalued for purposes of these condensed consolidated financial statements since that date and current estimates of fair value may differ significantly from the amounts presented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Company’s financial and nonfinancial assets and liabilities accounted for at fair value, on a recurring basis, as of June 30, 2023 and September 30, 2022 by level in the fair value hierarchy. All fair value measurements were performed on a recurring basis as of June 30, 2023 and September 30, 2022.</w:t>
      </w:r>
    </w:p>
    <w:tbl>
      <w:tblPr>
        <w:tblW w:w="10205" w:type="dxa"/>
        <w:jc w:val="left"/>
        <w:tblInd w:w="0" w:type="dxa"/>
        <w:tblLayout w:type="fixed"/>
        <w:tblCellMar>
          <w:top w:w="28" w:type="dxa"/>
          <w:left w:w="28" w:type="dxa"/>
          <w:bottom w:w="28" w:type="dxa"/>
          <w:right w:w="28" w:type="dxa"/>
        </w:tblCellMar>
      </w:tblPr>
      <w:tblGrid>
        <w:gridCol w:w="1630"/>
        <w:gridCol w:w="1220"/>
        <w:gridCol w:w="1173"/>
        <w:gridCol w:w="196"/>
        <w:gridCol w:w="781"/>
        <w:gridCol w:w="109"/>
        <w:gridCol w:w="109"/>
        <w:gridCol w:w="109"/>
        <w:gridCol w:w="109"/>
        <w:gridCol w:w="196"/>
        <w:gridCol w:w="691"/>
        <w:gridCol w:w="109"/>
        <w:gridCol w:w="109"/>
        <w:gridCol w:w="109"/>
        <w:gridCol w:w="109"/>
        <w:gridCol w:w="196"/>
        <w:gridCol w:w="406"/>
        <w:gridCol w:w="109"/>
        <w:gridCol w:w="109"/>
        <w:gridCol w:w="109"/>
        <w:gridCol w:w="109"/>
        <w:gridCol w:w="196"/>
        <w:gridCol w:w="733"/>
        <w:gridCol w:w="109"/>
        <w:gridCol w:w="109"/>
        <w:gridCol w:w="109"/>
        <w:gridCol w:w="109"/>
        <w:gridCol w:w="196"/>
        <w:gridCol w:w="691"/>
        <w:gridCol w:w="156"/>
      </w:tblGrid>
      <w:tr>
        <w:trPr/>
        <w:tc>
          <w:tcPr>
            <w:tcW w:w="163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8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40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Netting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Certificates of deposit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Money market mutual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Commodities warehouse receipts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and other assets segregated under federal and other regulations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 be announced and forward settling securities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Deposits with and receivables from broker-dealers, clearing organizations and counterparties,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Receivables from clients, net - Derivatives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 securities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and municipal bonds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mortgage-backed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Commodities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Commodities warehouse receipts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Exchange firm common stock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Mutual funds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instruments owned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Physical commodities inventory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 at fair value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Accounts payable and other accrued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Payables to clients - Derivatives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TBA and forward settling securities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Payable to broker-dealers, clearing organizations and counterparties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 securities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and municipal bonds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mortgage-backed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instruments sold, not yet purchased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at fair value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2,404.3 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cash collateral and the impact of netting across at each level of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02"/>
        <w:gridCol w:w="1189"/>
        <w:gridCol w:w="1142"/>
        <w:gridCol w:w="196"/>
        <w:gridCol w:w="781"/>
        <w:gridCol w:w="109"/>
        <w:gridCol w:w="109"/>
        <w:gridCol w:w="109"/>
        <w:gridCol w:w="109"/>
        <w:gridCol w:w="196"/>
        <w:gridCol w:w="691"/>
        <w:gridCol w:w="109"/>
        <w:gridCol w:w="109"/>
        <w:gridCol w:w="109"/>
        <w:gridCol w:w="109"/>
        <w:gridCol w:w="196"/>
        <w:gridCol w:w="406"/>
        <w:gridCol w:w="109"/>
        <w:gridCol w:w="109"/>
        <w:gridCol w:w="109"/>
        <w:gridCol w:w="109"/>
        <w:gridCol w:w="196"/>
        <w:gridCol w:w="822"/>
        <w:gridCol w:w="109"/>
        <w:gridCol w:w="109"/>
        <w:gridCol w:w="109"/>
        <w:gridCol w:w="109"/>
        <w:gridCol w:w="196"/>
        <w:gridCol w:w="691"/>
        <w:gridCol w:w="157"/>
      </w:tblGrid>
      <w:tr>
        <w:trPr/>
        <w:tc>
          <w:tcPr>
            <w:tcW w:w="160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Netting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Certificates of deposit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Money market mutual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Commodities warehouse receipts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and other assets segregated under federal and other regulations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TBA and forward settling securities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Deposits with and receivables from broker-dealers, clearing organizations and counterparties,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Receivables from clients, net - Derivatives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 securities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and municipal bonds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mortgage-backed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Commodities leases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Commodities warehouse receipts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Exchange firm common stock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Mutual funds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instruments owned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Physical commodities inventory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 at fair value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Payables to clients - Derivatives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TBA and forward settling securities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Payable to broker-dealers, clearing organizations and counterparties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 securities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and municipal bonds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mortgage-backed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instruments sold, not yet purchased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Total liabilities at fair value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cash collateral and the impact of netting across at each level of the fair value hierarchy. </w:t>
      </w:r>
    </w:p>
    <w:p>
      <w:pPr>
        <w:pStyle w:val="TextBody"/>
        <w:bidi w:val="0"/>
        <w:spacing w:lineRule="auto" w:line="288" w:before="120" w:after="120"/>
        <w:jc w:val="left"/>
        <w:rPr/>
      </w:pPr>
      <w:r>
        <w:rPr>
          <w:rFonts w:ascii="Times New Roman;sans-serif" w:hAnsi="Times New Roman;sans-serif"/>
          <w:b w:val="false"/>
          <w:color w:val="000000"/>
          <w:sz w:val="20"/>
        </w:rPr>
        <w:t xml:space="preserve">Realized and unrealized gains and losses are included in </w:t>
      </w:r>
      <w:r>
        <w:rPr>
          <w:rFonts w:ascii="Times New Roman;sans-serif" w:hAnsi="Times New Roman;sans-serif"/>
          <w:b w:val="false"/>
          <w:i/>
          <w:color w:val="000000"/>
          <w:sz w:val="20"/>
        </w:rPr>
        <w:t>Principal gains, net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Interest income</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Cost of sales of physical commodities</w:t>
      </w:r>
      <w:r>
        <w:rPr>
          <w:color w:val="000000"/>
        </w:rPr>
        <w:t xml:space="preserve"> </w:t>
      </w:r>
      <w:r>
        <w:rPr>
          <w:rFonts w:ascii="Times New Roman;sans-serif" w:hAnsi="Times New Roman;sans-serif"/>
          <w:b w:val="false"/>
          <w:color w:val="000000"/>
          <w:sz w:val="20"/>
        </w:rPr>
        <w:t>in the Condensed Consolidated Income Statements.</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Additional disclosures about the fair value of financial instruments that are not carried on the Condensed Consolidated Balance Sheets at fair value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Many, but not all, of the financial instruments that the Company holds are recorded at fair value in the Condensed Consolidated Balance Sheets. The following represents financial instruments in which the ending balance at June 30, 2023 and September 30, 2022 was not carried at fair value in accordance with U.S. GAAP on the Condensed Consolidated Balance Sheets:</w:t>
      </w:r>
    </w:p>
    <w:p>
      <w:pPr>
        <w:pStyle w:val="TextBody"/>
        <w:bidi w:val="0"/>
        <w:spacing w:lineRule="auto" w:line="288" w:before="120" w:after="120"/>
        <w:jc w:val="left"/>
        <w:rPr/>
      </w:pPr>
      <w:r>
        <w:rPr>
          <w:rFonts w:ascii="Times New Roman;sans-serif" w:hAnsi="Times New Roman;sans-serif"/>
          <w:b w:val="false"/>
          <w:i/>
          <w:color w:val="000000"/>
          <w:sz w:val="20"/>
        </w:rPr>
        <w:t>Short-term financial instruments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 carrying value of short-term financial instruments, including cash and cash equivalents, cash segregated under federal and other regulations, securities purchased under agreements to resell and securities sold under agreements to repurchase, and securities borrowed and loaned are recorded at amounts that approximate the fair value of these instruments due to their short-term nature and level of collateralization. These financial instruments generally expose the Company to limited credit risk and have no stated maturities or have short-term maturities and carry interest rates that approximate market rates. Under the fair value hierarchy, cash and cash equivalents and cash segregated under federal and other regulations are classified as Level 1. Securities purchased under agreements to resell and securities sold under agreements to repurchase, and securities borrowed and loaned are classified as Level 2 under the fair value hierarchy as they are generally overnight or short-term in nature and are collateralized by equity securities, U.S. Treasury obligations, U.S. government agency obligations, agency mortgage-backed obligations, and asset-backed obligations. </w:t>
      </w:r>
    </w:p>
    <w:p>
      <w:pPr>
        <w:pStyle w:val="TextBody"/>
        <w:bidi w:val="0"/>
        <w:spacing w:lineRule="auto" w:line="288" w:before="0" w:after="0"/>
        <w:jc w:val="left"/>
        <w:rPr/>
      </w:pPr>
      <w:r>
        <w:rPr>
          <w:rFonts w:ascii="Times New Roman;sans-serif" w:hAnsi="Times New Roman;sans-serif"/>
          <w:b w:val="false"/>
          <w:i/>
          <w:color w:val="000000"/>
          <w:sz w:val="20"/>
        </w:rPr>
        <w:t>Receivables and other assets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Receivables from broker-dealers, clearing organizations, and counterparties, receivables from clients, net, notes receivables, and certain other assets are recorded at amounts that approximate fair value due to their short-term nature and are classified as Level 2 under the fair value hierarchy.</w:t>
      </w:r>
    </w:p>
    <w:p>
      <w:pPr>
        <w:pStyle w:val="TextBody"/>
        <w:bidi w:val="0"/>
        <w:spacing w:lineRule="auto" w:line="288" w:before="120" w:after="120"/>
        <w:jc w:val="left"/>
        <w:rPr/>
      </w:pPr>
      <w:r>
        <w:rPr>
          <w:rFonts w:ascii="Times New Roman;sans-serif" w:hAnsi="Times New Roman;sans-serif"/>
          <w:b w:val="false"/>
          <w:i/>
          <w:color w:val="000000"/>
          <w:sz w:val="20"/>
        </w:rPr>
        <w:t>Payables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Payables to clients and payables to broker-dealers, clearing organizations, and counterparties are recorded at amounts that approximate fair value due to their short-term nature and are classified as Level 2 under the fair value hierarchy.</w:t>
      </w:r>
    </w:p>
    <w:p>
      <w:pPr>
        <w:pStyle w:val="TextBody"/>
        <w:bidi w:val="0"/>
        <w:spacing w:lineRule="auto" w:line="288" w:before="120" w:after="120"/>
        <w:jc w:val="left"/>
        <w:rPr/>
      </w:pPr>
      <w:r>
        <w:rPr>
          <w:rFonts w:ascii="Times New Roman;sans-serif" w:hAnsi="Times New Roman;sans-serif"/>
          <w:b w:val="false"/>
          <w:i/>
          <w:color w:val="000000"/>
          <w:sz w:val="20"/>
        </w:rPr>
        <w:t>Lenders under loans</w:t>
      </w:r>
      <w:r>
        <w:rPr>
          <w:rFonts w:ascii="Times New Roman;sans-serif" w:hAnsi="Times New Roman;sans-serif"/>
          <w:b w:val="false"/>
          <w:color w:val="000000"/>
          <w:sz w:val="20"/>
        </w:rPr>
        <w:t xml:space="preserve">: Payables to lenders under loans carry variable rates of interest and thus approximate fair value and are classified as Level 2 under the fair value hierarchy. </w:t>
      </w:r>
    </w:p>
    <w:p>
      <w:pPr>
        <w:pStyle w:val="TextBody"/>
        <w:bidi w:val="0"/>
        <w:spacing w:lineRule="auto" w:line="288" w:before="120" w:after="180"/>
        <w:jc w:val="left"/>
        <w:rPr/>
      </w:pPr>
      <w:r>
        <w:rPr>
          <w:rFonts w:ascii="Times New Roman;sans-serif" w:hAnsi="Times New Roman;sans-serif"/>
          <w:b w:val="false"/>
          <w:i/>
          <w:color w:val="000000"/>
          <w:sz w:val="20"/>
        </w:rPr>
        <w:t>Senior secured borrowings, net</w:t>
      </w:r>
      <w:r>
        <w:rPr>
          <w:rFonts w:ascii="Times New Roman;sans-serif" w:hAnsi="Times New Roman;sans-serif"/>
          <w:b w:val="false"/>
          <w:color w:val="000000"/>
          <w:sz w:val="20"/>
        </w:rPr>
        <w:t xml:space="preserve">: Senior secured borrowings, net includes the Company's 8.625% Senior Secured Notes due 2025 (the “Senior Secured Notes”), as further described in Note 9, with a carrying value of $341.3 million as of June 30, 2023. The carrying value of the Senior Secured Notes represent their principal amount net of unamortized deferred financing costs and original issue discount. As of June 30, 2023, the Senior Secured Notes had a fair value of $351.8 million and are classified as Level 2 under the fair value hierarchy.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4 – Financial Instruments with Off-Balance Sheet Risk and Concentrations of Credit Risk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to certain financial instruments with off-balance sheet risk in the normal course of its business. The Company has sold financial instruments that it does not currently own and will therefore be obliged to purchase such financial instruments at a future date. The Company has recorded these obligations in the condensed consolidated financial statements as of June 30, 2023 and September 30, 2022 at the fair values of the related financial instruments. The Company will incur losses if the fair value of the underlying financial instruments increases subsequent to June 30, 2023. The total financial instruments sold, not yet purchased of $2,696.2 million and $2,469.6 million as of June 30, 2023 and September 30, 2022, respectively, includes $369.0 million and $313.4 million for derivative contracts not designated as hedges, respectively, which represented a liability to the Company based on their fair values as of June 30, 2023 and September 30, 2022.</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Derivatives</w:t>
      </w:r>
    </w:p>
    <w:p>
      <w:pPr>
        <w:pStyle w:val="TextBody"/>
        <w:bidi w:val="0"/>
        <w:spacing w:lineRule="auto" w:line="288" w:before="120" w:after="120"/>
        <w:jc w:val="left"/>
        <w:rPr/>
      </w:pPr>
      <w:r>
        <w:rPr>
          <w:rFonts w:ascii="Times New Roman;sans-serif" w:hAnsi="Times New Roman;sans-serif"/>
          <w:b w:val="false"/>
          <w:color w:val="000000"/>
          <w:sz w:val="20"/>
        </w:rPr>
        <w:t xml:space="preserve">The Company utilizes derivative products in its trading capacity as a dealer in order to satisfy client needs and mitigate risk. The Company manages risks from both derivatives and non-derivative cash instruments on a consolidated basis. The risks of derivatives should not be viewed in isolation, but in aggregate with the Company’s other trading activities. The Company’s derivative positions are included in the Condensed Consolidated Balance Sheets in </w:t>
      </w:r>
      <w:r>
        <w:rPr>
          <w:rFonts w:ascii="Times New Roman;sans-serif" w:hAnsi="Times New Roman;sans-serif"/>
          <w:b w:val="false"/>
          <w:i/>
          <w:color w:val="000000"/>
          <w:sz w:val="20"/>
        </w:rPr>
        <w:t>Deposits with and receivables from broker-dealers, clearing organizations and counterparties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Receivables from clients, net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Financial instruments owned and sold, not yet purchased, at fair value</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Payable to clients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Payables to broker-dealers, clearing organizations and counterparties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Listed below are the fair values of the Company’s derivative assets and liabilities as of June 30, 2023 and September 30, 2022. Assets represent net unrealized gains and liabilities represent net unrealized losses.</w:t>
      </w:r>
    </w:p>
    <w:tbl>
      <w:tblPr>
        <w:tblW w:w="10205" w:type="dxa"/>
        <w:jc w:val="left"/>
        <w:tblInd w:w="0" w:type="dxa"/>
        <w:tblLayout w:type="fixed"/>
        <w:tblCellMar>
          <w:top w:w="28" w:type="dxa"/>
          <w:left w:w="28" w:type="dxa"/>
          <w:bottom w:w="28" w:type="dxa"/>
          <w:right w:w="28" w:type="dxa"/>
        </w:tblCellMar>
      </w:tblPr>
      <w:tblGrid>
        <w:gridCol w:w="1998"/>
        <w:gridCol w:w="1571"/>
        <w:gridCol w:w="1534"/>
        <w:gridCol w:w="196"/>
        <w:gridCol w:w="691"/>
        <w:gridCol w:w="109"/>
        <w:gridCol w:w="109"/>
        <w:gridCol w:w="109"/>
        <w:gridCol w:w="109"/>
        <w:gridCol w:w="196"/>
        <w:gridCol w:w="691"/>
        <w:gridCol w:w="109"/>
        <w:gridCol w:w="109"/>
        <w:gridCol w:w="109"/>
        <w:gridCol w:w="109"/>
        <w:gridCol w:w="196"/>
        <w:gridCol w:w="736"/>
        <w:gridCol w:w="109"/>
        <w:gridCol w:w="109"/>
        <w:gridCol w:w="109"/>
        <w:gridCol w:w="109"/>
        <w:gridCol w:w="196"/>
        <w:gridCol w:w="736"/>
        <w:gridCol w:w="156"/>
      </w:tblGrid>
      <w:tr>
        <w:trPr/>
        <w:tc>
          <w:tcPr>
            <w:tcW w:w="199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Assets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Liabilities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Assets </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Liabilities </w:t>
            </w:r>
            <w:r>
              <w:rPr>
                <w:rFonts w:ascii="Times New Roman;sans-serif" w:hAnsi="Times New Roman;sans-serif"/>
                <w:b/>
                <w:color w:val="000000"/>
                <w:sz w:val="10"/>
              </w:rPr>
              <w:t>(1)</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contracts not accounted for as hedges: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Exchange-traded commodity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commodity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Exchange-traded foreign exchange derivatives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foreign exchange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Exchange-traded interest rate derivatives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interest rate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Exchange-traded equity index derivatives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equity and indices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TBA and forward settling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Subtotal</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 contracts designated as hedging instruments: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Subtotal</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fair value of derivative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Impact of netting and collateral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fair value included in </w:t>
            </w:r>
            <w:r>
              <w:rPr>
                <w:rFonts w:ascii="Times New Roman;sans-serif" w:hAnsi="Times New Roman;sans-serif"/>
                <w:b w:val="false"/>
                <w:i/>
                <w:color w:val="000000"/>
                <w:sz w:val="16"/>
              </w:rPr>
              <w:t>Deposits with and receivables from broker-dealers, clearing organizations, and counterparties, net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fair value included in </w:t>
            </w:r>
            <w:r>
              <w:rPr>
                <w:rFonts w:ascii="Times New Roman;sans-serif" w:hAnsi="Times New Roman;sans-serif"/>
                <w:b w:val="false"/>
                <w:i/>
                <w:color w:val="000000"/>
                <w:sz w:val="16"/>
              </w:rPr>
              <w:t>Receivables from clients,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fair value included in </w:t>
            </w:r>
            <w:r>
              <w:rPr>
                <w:rFonts w:ascii="Times New Roman;sans-serif" w:hAnsi="Times New Roman;sans-serif"/>
                <w:b w:val="false"/>
                <w:i/>
                <w:color w:val="000000"/>
                <w:sz w:val="16"/>
              </w:rPr>
              <w:t>Financial instruments owned, at fair value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fair value included in </w:t>
            </w:r>
            <w:r>
              <w:rPr>
                <w:rFonts w:ascii="Times New Roman;sans-serif" w:hAnsi="Times New Roman;sans-serif"/>
                <w:b w:val="false"/>
                <w:i/>
                <w:color w:val="000000"/>
                <w:sz w:val="16"/>
              </w:rPr>
              <w:t>Payables to clients</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fair value included in </w:t>
            </w:r>
            <w:r>
              <w:rPr>
                <w:rFonts w:ascii="Times New Roman;sans-serif" w:hAnsi="Times New Roman;sans-serif"/>
                <w:b w:val="false"/>
                <w:i/>
                <w:color w:val="000000"/>
                <w:sz w:val="16"/>
              </w:rPr>
              <w:t>Payables to broker-dealers, clearing organizations and counterparties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fair value included in </w:t>
            </w:r>
            <w:r>
              <w:rPr>
                <w:rFonts w:ascii="Times New Roman;sans-serif" w:hAnsi="Times New Roman;sans-serif"/>
                <w:b w:val="false"/>
                <w:i/>
                <w:color w:val="000000"/>
                <w:sz w:val="16"/>
              </w:rPr>
              <w:t>Financial instruments sold, not yet purchased, at fair value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(1)As of June 30, 2023 and September 30, 2022, the Company’s derivative contract volume for open positions was approximately 12.8 million and 13.3 million contracts, respectively.</w:t>
      </w:r>
    </w:p>
    <w:p>
      <w:pPr>
        <w:pStyle w:val="TextBody"/>
        <w:bidi w:val="0"/>
        <w:spacing w:before="0" w:after="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contracts are principally held in its Commercial and Retail segments. The Company assists its Commercial segment clients in protecting the value of their future production by entering into option or forward agreements with them on an OTC basis. The Company also provides its Commercial segment clients with option products, including combinations of buying and selling puts and calls. In its Retail segment, the Company provides its retail clients with access to spot foreign exchange, precious metals trading, as well as contracts for a difference (“CFDs”) and spread bets, where permitted. The Company mitigates its risk by generally offsetting the client’s transaction simultaneously with one of the Company’s trading counterparties or will offset that transaction with a similar but not identical position on the exchange. The risk mitigation of these offsetting trades is not within the documented hedging designation requirements of the Derivatives and Hedging Topic of the ASC. These derivative contracts are traded along with cash transactions because of the integrated nature of the markets for these products. The Company manages the risks associated with derivatives on an aggregate basis along with the risks associated with its proprietary trading and market-making activities in cash instruments as part of its firm-wide risk management policies. In particular, the risks related to derivative positions may be partially offset by inventory, unrealized gains in inventory or cash collateral paid or received.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Hedging Activities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interest rate derivatives, in the form of swaps, to hedge risk related to variability in overnight rates. These hedges are designated cash flow hedges, through which the Company mitigates uncertainty in its interest income by converting floating-rate interest income to fixed-rate interest income. While the swaps mitigate interest rate risk, they do introduce credit risk, which is the possibility that the Company’s trading counterparty fails to meet its obligation. The Company minimizes this risk by entering into its swaps with highly-rated, multi-national institutions. In addition to credit risk, there is market risk associated with the swap positions. The Company’s market risk is limited, because any amounts the Company must pay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having exchanged variable interest will be funded by the variable interest the Company receives on its deposits. As of June 30, 2023, the Company’s hedges will all have matured by approximately 2 years from the end of the current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uses foreign currency derivatives, in the form of forward contracts, to hedge risk related to the variability in exchange rates relative to certain of the Company’s non-USD expenditures. These hedges are designated cash flow hedges, through which the Company mitigates variability in exchange rates by exchanging foreign currency for USD at fixed exchange rates at a pre-determined future date, or several cash flows at several pre-determined future dates. While the forward contracts mitigate exchange rate variability risk, they do introduce credit risk, which is the possibility that the Company’s trading counterparty fails to meet its obligation. The Company minimizes this risk by entering into its forward contracts with highly-rated, multi-national institutions. These hedges will all mature within 2 years from the end of the current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effectiveness of its hedges at each reporting period to identify any required reclassifications into current earnings. During the three months ended June 30, 2023 and 2022, the Company did not designate any portion of its hedges as ineffective and thus did not have any values in current earnings related to ineffective hedges. The fair values of derivative instruments designated for hedging held as of June 30, 2023 and September 30, 2022 are as follow: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17"/>
        <w:gridCol w:w="1529"/>
        <w:gridCol w:w="1525"/>
        <w:gridCol w:w="819"/>
        <w:gridCol w:w="763"/>
        <w:gridCol w:w="766"/>
        <w:gridCol w:w="109"/>
        <w:gridCol w:w="109"/>
        <w:gridCol w:w="109"/>
        <w:gridCol w:w="252"/>
        <w:gridCol w:w="599"/>
        <w:gridCol w:w="140"/>
        <w:gridCol w:w="109"/>
        <w:gridCol w:w="109"/>
        <w:gridCol w:w="109"/>
        <w:gridCol w:w="321"/>
        <w:gridCol w:w="763"/>
        <w:gridCol w:w="257"/>
      </w:tblGrid>
      <w:tr>
        <w:trPr/>
        <w:tc>
          <w:tcPr>
            <w:tcW w:w="1817"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Derivatives</w:t>
            </w:r>
          </w:p>
        </w:tc>
        <w:tc>
          <w:tcPr>
            <w:tcW w:w="2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derivatives designated as hedging instruments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Derivative assets expected to be released from </w:t>
            </w:r>
            <w:r>
              <w:rPr>
                <w:rFonts w:ascii="Times New Roman;sans-serif" w:hAnsi="Times New Roman;sans-serif"/>
                <w:b w:val="false"/>
                <w:i/>
                <w:color w:val="000000"/>
                <w:sz w:val="16"/>
              </w:rPr>
              <w:t>Other comprehensive income</w:t>
            </w:r>
            <w:r>
              <w:rPr>
                <w:color w:val="000000"/>
              </w:rPr>
              <w:t xml:space="preserve"> </w:t>
            </w:r>
            <w:r>
              <w:rPr>
                <w:rFonts w:ascii="Times New Roman;sans-serif" w:hAnsi="Times New Roman;sans-serif"/>
                <w:b w:val="false"/>
                <w:color w:val="000000"/>
                <w:sz w:val="16"/>
              </w:rPr>
              <w:t>into current earnings: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vAlign w:val="center"/>
          </w:tcPr>
          <w:p>
            <w:pPr>
              <w:pStyle w:val="TableContents"/>
              <w:bidi w:val="0"/>
              <w:spacing w:before="0" w:after="283"/>
              <w:jc w:val="left"/>
              <w:rPr>
                <w:sz w:val="4"/>
                <w:szCs w:val="4"/>
              </w:rPr>
            </w:pPr>
            <w:r>
              <w:rPr>
                <w:sz w:val="4"/>
                <w:szCs w:val="4"/>
              </w:rPr>
            </w:r>
          </w:p>
        </w:tc>
        <w:tc>
          <w:tcPr>
            <w:tcW w:w="2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expected to be released from </w:t>
            </w:r>
            <w:r>
              <w:rPr>
                <w:rFonts w:ascii="Times New Roman;sans-serif" w:hAnsi="Times New Roman;sans-serif"/>
                <w:b w:val="false"/>
                <w:i/>
                <w:color w:val="000000"/>
                <w:sz w:val="16"/>
              </w:rPr>
              <w:t>Other comprehensive income</w:t>
            </w:r>
            <w:r>
              <w:rPr>
                <w:color w:val="000000"/>
              </w:rPr>
              <w:t xml:space="preserve"> </w:t>
            </w:r>
            <w:r>
              <w:rPr>
                <w:rFonts w:ascii="Times New Roman;sans-serif" w:hAnsi="Times New Roman;sans-serif"/>
                <w:b w:val="false"/>
                <w:color w:val="000000"/>
                <w:sz w:val="16"/>
              </w:rPr>
              <w:t>into earnings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Liability Derivatives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derivatives designated as hedging instruments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Derivative liabilities expected to be released from </w:t>
            </w:r>
            <w:r>
              <w:rPr>
                <w:rFonts w:ascii="Times New Roman;sans-serif" w:hAnsi="Times New Roman;sans-serif"/>
                <w:b w:val="false"/>
                <w:i/>
                <w:color w:val="000000"/>
                <w:sz w:val="16"/>
              </w:rPr>
              <w:t>Other comprehensive income</w:t>
            </w:r>
            <w:r>
              <w:rPr>
                <w:color w:val="000000"/>
              </w:rPr>
              <w:t xml:space="preserve"> </w:t>
            </w:r>
            <w:r>
              <w:rPr>
                <w:rFonts w:ascii="Times New Roman;sans-serif" w:hAnsi="Times New Roman;sans-serif"/>
                <w:b w:val="false"/>
                <w:color w:val="000000"/>
                <w:sz w:val="16"/>
              </w:rPr>
              <w:t>into current earnings: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Total expected to be released from </w:t>
            </w:r>
            <w:r>
              <w:rPr>
                <w:rFonts w:ascii="Times New Roman;sans-serif" w:hAnsi="Times New Roman;sans-serif"/>
                <w:b w:val="false"/>
                <w:i/>
                <w:color w:val="000000"/>
                <w:sz w:val="16"/>
              </w:rPr>
              <w:t>Other comprehensive income</w:t>
            </w:r>
            <w:r>
              <w:rPr>
                <w:color w:val="000000"/>
              </w:rPr>
              <w:t xml:space="preserve"> </w:t>
            </w:r>
            <w:r>
              <w:rPr>
                <w:rFonts w:ascii="Times New Roman;sans-serif" w:hAnsi="Times New Roman;sans-serif"/>
                <w:b w:val="false"/>
                <w:color w:val="000000"/>
                <w:sz w:val="16"/>
              </w:rPr>
              <w:t>into earnings</w:t>
            </w:r>
          </w:p>
        </w:tc>
        <w:tc>
          <w:tcPr>
            <w:tcW w:w="2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notional values of derivative instruments designated for hedging held as of June 30, 2023 and September 30, 2022 are as follow:</w:t>
      </w:r>
    </w:p>
    <w:tbl>
      <w:tblPr>
        <w:tblW w:w="8483" w:type="dxa"/>
        <w:jc w:val="left"/>
        <w:tblInd w:w="0" w:type="dxa"/>
        <w:tblLayout w:type="fixed"/>
        <w:tblCellMar>
          <w:top w:w="28" w:type="dxa"/>
          <w:left w:w="28" w:type="dxa"/>
          <w:bottom w:w="28" w:type="dxa"/>
          <w:right w:w="28" w:type="dxa"/>
        </w:tblCellMar>
      </w:tblPr>
      <w:tblGrid>
        <w:gridCol w:w="1826"/>
        <w:gridCol w:w="1604"/>
        <w:gridCol w:w="1610"/>
        <w:gridCol w:w="109"/>
        <w:gridCol w:w="109"/>
        <w:gridCol w:w="109"/>
        <w:gridCol w:w="264"/>
        <w:gridCol w:w="809"/>
        <w:gridCol w:w="127"/>
        <w:gridCol w:w="109"/>
        <w:gridCol w:w="109"/>
        <w:gridCol w:w="109"/>
        <w:gridCol w:w="335"/>
        <w:gridCol w:w="1026"/>
        <w:gridCol w:w="228"/>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Value</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 to purchase Polish Zloty: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Local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zł</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zł</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 to purchase British Pound Sterling: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Local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Income Statement effects of derivative instruments designated for hedging held for the three and nine months ended June 30, 2023 and 2022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67"/>
        <w:gridCol w:w="1329"/>
        <w:gridCol w:w="1333"/>
        <w:gridCol w:w="585"/>
        <w:gridCol w:w="408"/>
        <w:gridCol w:w="409"/>
        <w:gridCol w:w="109"/>
        <w:gridCol w:w="109"/>
        <w:gridCol w:w="109"/>
        <w:gridCol w:w="325"/>
        <w:gridCol w:w="857"/>
        <w:gridCol w:w="181"/>
        <w:gridCol w:w="109"/>
        <w:gridCol w:w="109"/>
        <w:gridCol w:w="109"/>
        <w:gridCol w:w="319"/>
        <w:gridCol w:w="839"/>
        <w:gridCol w:w="177"/>
        <w:gridCol w:w="109"/>
        <w:gridCol w:w="109"/>
        <w:gridCol w:w="109"/>
        <w:gridCol w:w="109"/>
        <w:gridCol w:w="109"/>
        <w:gridCol w:w="109"/>
        <w:gridCol w:w="109"/>
        <w:gridCol w:w="159"/>
      </w:tblGrid>
      <w:tr>
        <w:trPr/>
        <w:tc>
          <w:tcPr>
            <w:tcW w:w="186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6"/>
            <w:tcBorders/>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amounts in income related to hedges</w:t>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1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derivatives designated as hedging instruments</w:t>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Loss on cash flow hedging relationships:</w:t>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 of loss reclassified from accumulated other comprehensive income into income</w:t>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 of gain reclassified from accumulated other comprehensive income into income as a result of a forecasted transaction that is no longer probable of occurring</w:t>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31"/>
        <w:gridCol w:w="1392"/>
        <w:gridCol w:w="1397"/>
        <w:gridCol w:w="415"/>
        <w:gridCol w:w="415"/>
        <w:gridCol w:w="417"/>
        <w:gridCol w:w="109"/>
        <w:gridCol w:w="109"/>
        <w:gridCol w:w="109"/>
        <w:gridCol w:w="371"/>
        <w:gridCol w:w="768"/>
        <w:gridCol w:w="206"/>
        <w:gridCol w:w="109"/>
        <w:gridCol w:w="109"/>
        <w:gridCol w:w="109"/>
        <w:gridCol w:w="363"/>
        <w:gridCol w:w="752"/>
        <w:gridCol w:w="201"/>
        <w:gridCol w:w="109"/>
        <w:gridCol w:w="109"/>
        <w:gridCol w:w="109"/>
        <w:gridCol w:w="109"/>
        <w:gridCol w:w="109"/>
        <w:gridCol w:w="109"/>
        <w:gridCol w:w="109"/>
        <w:gridCol w:w="160"/>
      </w:tblGrid>
      <w:tr>
        <w:trPr/>
        <w:tc>
          <w:tcPr>
            <w:tcW w:w="193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amounts in income related to hedges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derivatives designated as hedging instruments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Gain on cash flow hedging relationships: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 of gain reclassified from accumulated other comprehensive income into income</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 of gain reclassified from accumulated other comprehensive income into income as a result of a forecasted transaction that is no longer probable of occurring</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accumulated other comprehensive income effects of derivative instruments designated for hedging held for three and nine months ended June 30, 2023 and 2022 are as follow: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5"/>
        <w:gridCol w:w="618"/>
        <w:gridCol w:w="626"/>
        <w:gridCol w:w="723"/>
        <w:gridCol w:w="1443"/>
        <w:gridCol w:w="405"/>
        <w:gridCol w:w="110"/>
        <w:gridCol w:w="110"/>
        <w:gridCol w:w="110"/>
        <w:gridCol w:w="909"/>
        <w:gridCol w:w="860"/>
        <w:gridCol w:w="862"/>
        <w:gridCol w:w="110"/>
        <w:gridCol w:w="110"/>
        <w:gridCol w:w="110"/>
        <w:gridCol w:w="562"/>
        <w:gridCol w:w="1383"/>
        <w:gridCol w:w="449"/>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of Gain/(Loss) Recognized in Other Comprehensive Income on Derivatives, net of tax</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Location of amount Reclassified from Accumulated Other Comprehensive Income into Income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Reclassified from Accumulated Other Comprehensive Income into Income</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2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2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7"/>
        <w:gridCol w:w="629"/>
        <w:gridCol w:w="636"/>
        <w:gridCol w:w="630"/>
        <w:gridCol w:w="1502"/>
        <w:gridCol w:w="352"/>
        <w:gridCol w:w="109"/>
        <w:gridCol w:w="109"/>
        <w:gridCol w:w="109"/>
        <w:gridCol w:w="911"/>
        <w:gridCol w:w="862"/>
        <w:gridCol w:w="865"/>
        <w:gridCol w:w="109"/>
        <w:gridCol w:w="109"/>
        <w:gridCol w:w="109"/>
        <w:gridCol w:w="574"/>
        <w:gridCol w:w="1413"/>
        <w:gridCol w:w="460"/>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2023</w:t>
            </w:r>
          </w:p>
        </w:tc>
      </w:tr>
      <w:tr>
        <w:trPr/>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of Gain Recognized in Other Comprehensive Income on Derivatives,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Location of Gain Reclassified from Accumulated Other Comprehensive Income into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Reclassified from Accumulated Other Comprehensive Income into Income</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2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 contracts</w:t>
            </w:r>
          </w:p>
        </w:tc>
        <w:tc>
          <w:tcPr>
            <w:tcW w:w="2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tbl>
      <w:tblPr>
        <w:tblW w:w="10205" w:type="dxa"/>
        <w:jc w:val="left"/>
        <w:tblInd w:w="0" w:type="dxa"/>
        <w:tblLayout w:type="fixed"/>
        <w:tblCellMar>
          <w:top w:w="28" w:type="dxa"/>
          <w:left w:w="28" w:type="dxa"/>
          <w:bottom w:w="28" w:type="dxa"/>
          <w:right w:w="28" w:type="dxa"/>
        </w:tblCellMar>
      </w:tblPr>
      <w:tblGrid>
        <w:gridCol w:w="707"/>
        <w:gridCol w:w="620"/>
        <w:gridCol w:w="628"/>
        <w:gridCol w:w="737"/>
        <w:gridCol w:w="1417"/>
        <w:gridCol w:w="415"/>
        <w:gridCol w:w="113"/>
        <w:gridCol w:w="113"/>
        <w:gridCol w:w="113"/>
        <w:gridCol w:w="864"/>
        <w:gridCol w:w="864"/>
        <w:gridCol w:w="866"/>
        <w:gridCol w:w="113"/>
        <w:gridCol w:w="113"/>
        <w:gridCol w:w="113"/>
        <w:gridCol w:w="646"/>
        <w:gridCol w:w="1243"/>
        <w:gridCol w:w="520"/>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of Gain/(loss) Recognized in Other Comprehensive Income on Derivatives, net of tax</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Location of amount Reclassified from Accumulated Other Comprehensive Income into Income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Reclassified from Accumulated Other Comprehensive Income into Income</w:t>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2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10"/>
        <w:gridCol w:w="622"/>
        <w:gridCol w:w="630"/>
        <w:gridCol w:w="620"/>
        <w:gridCol w:w="1478"/>
        <w:gridCol w:w="347"/>
        <w:gridCol w:w="111"/>
        <w:gridCol w:w="111"/>
        <w:gridCol w:w="111"/>
        <w:gridCol w:w="850"/>
        <w:gridCol w:w="850"/>
        <w:gridCol w:w="853"/>
        <w:gridCol w:w="111"/>
        <w:gridCol w:w="111"/>
        <w:gridCol w:w="111"/>
        <w:gridCol w:w="693"/>
        <w:gridCol w:w="1332"/>
        <w:gridCol w:w="554"/>
      </w:tblGrid>
      <w:tr>
        <w:trPr/>
        <w:tc>
          <w:tcPr>
            <w:tcW w:w="71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 2022</w:t>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of Loss Recognized in Other Comprehensive Income on Derivatives, net of tax</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Location of Gain Reclassified from Accumulated Other Comprehensive Income into Income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 of Gain Reclassified from Accumulated Other Comprehensive Income into Income</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2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contracts</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pPr>
      <w:r>
        <w:rPr>
          <w:rFonts w:ascii="Times New Roman;sans-serif" w:hAnsi="Times New Roman;sans-serif"/>
          <w:b w:val="false"/>
          <w:color w:val="000000"/>
          <w:sz w:val="20"/>
        </w:rPr>
        <w:t xml:space="preserve">The following table sets forth the Company’s net gains/(losses) related to derivative financial instruments for the three and nine months ended June 30, 2023 and 2022 in accordance with the Derivatives and Hedging Topic of the ASC. The net gains/(losses) set forth below are included in </w:t>
      </w:r>
      <w:r>
        <w:rPr>
          <w:rFonts w:ascii="Times New Roman;sans-serif" w:hAnsi="Times New Roman;sans-serif"/>
          <w:b w:val="false"/>
          <w:i/>
          <w:color w:val="000000"/>
          <w:sz w:val="20"/>
        </w:rPr>
        <w:t>Principal gains, net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Cost of sales of physical commodities</w:t>
      </w:r>
      <w:r>
        <w:rPr>
          <w:color w:val="000000"/>
        </w:rPr>
        <w:t xml:space="preserve"> </w:t>
      </w:r>
      <w:r>
        <w:rPr>
          <w:rFonts w:ascii="Times New Roman;sans-serif" w:hAnsi="Times New Roman;sans-serif"/>
          <w:b w:val="false"/>
          <w:color w:val="000000"/>
          <w:sz w:val="20"/>
        </w:rPr>
        <w:t>in the Condensed Consolidated Income Statements.</w:t>
      </w:r>
    </w:p>
    <w:tbl>
      <w:tblPr>
        <w:tblW w:w="7457" w:type="dxa"/>
        <w:jc w:val="center"/>
        <w:tblInd w:w="0" w:type="dxa"/>
        <w:tblLayout w:type="fixed"/>
        <w:tblCellMar>
          <w:top w:w="28" w:type="dxa"/>
          <w:left w:w="28" w:type="dxa"/>
          <w:bottom w:w="28" w:type="dxa"/>
          <w:right w:w="28" w:type="dxa"/>
        </w:tblCellMar>
      </w:tblPr>
      <w:tblGrid>
        <w:gridCol w:w="962"/>
        <w:gridCol w:w="844"/>
        <w:gridCol w:w="849"/>
        <w:gridCol w:w="216"/>
        <w:gridCol w:w="614"/>
        <w:gridCol w:w="120"/>
        <w:gridCol w:w="120"/>
        <w:gridCol w:w="120"/>
        <w:gridCol w:w="120"/>
        <w:gridCol w:w="216"/>
        <w:gridCol w:w="614"/>
        <w:gridCol w:w="120"/>
        <w:gridCol w:w="109"/>
        <w:gridCol w:w="109"/>
        <w:gridCol w:w="109"/>
        <w:gridCol w:w="207"/>
        <w:gridCol w:w="589"/>
        <w:gridCol w:w="115"/>
        <w:gridCol w:w="115"/>
        <w:gridCol w:w="115"/>
        <w:gridCol w:w="115"/>
        <w:gridCol w:w="207"/>
        <w:gridCol w:w="589"/>
        <w:gridCol w:w="163"/>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exchange </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rate, equities, and indices </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TBA and forward settling securities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gains from derivative contracts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purchases and sells financial instruments, commodities and foreign currencies as either a principal or agent on behalf of its clients. If either the client or counterparty fails to perform, the Company may be required to discharge the obligations of the nonperforming party. In such circumstances, the Company may sustain a loss if the fair value of the financial instrument, commodity, or foreign currency is different from the contract value of the transaction.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transactions and, consequently, the concentration of its credit exposure are with commodity exchanges, clients, broker-dealers and other financial institutions. These activities primarily involve collateralized and uncollateralized arrangements and may result in credit exposure in the event that a counterparty fails to meet its contractual obligations. The Company’s exposure to credit risk can be directly impacted by volatile financial markets, which may impair counterparties’ ability to satisfy contractual obligations. The Company seeks to control its credit risk through a variety of reporting and control procedures, including establishing credit and/or position limits based upon a review of the counterparties’ financial condition and credit ratings. The Company monitors collateral levels on a daily basis for compliance with regulatory and internal guidelines and requests changes in collateral levels as appropriate.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party to financial instruments in the normal course of its business through client and proprietary trading accounts in exchange-traded and OTC derivative instruments. These instruments are primarily the result of the execution of orders for commodity futures, options on futures, OTC swaps and options and spot and forward foreign currency contracts on behalf of its clients, substantially all of which are transacted on a margin basis. Such transactions may expose the Company to significant credit risk in the event that margin requirements are not sufficient to fully cover losses which clients may incur. The Company controls the risks associated with these transactions by requiring clients to maintain margin deposits in compliance with individual exchange regulations and internal guidelines. The Company monitors required margin levels daily, and therefore, may require clients to deposit additional collateral or reduce positions when necessary. The Company also establishes credit limits for clients, which are monitored daily. The Company evaluates each client’s creditworthiness on a case by case basis. Clearing, financing, and settlement activities may require the Company to maintain funds with or pledge securities as collateral with other financial institutions. Generally, these exposures to both clients and exchanges are subject to master netting, or client agreements, which reduce the exposure to the Company by permitting receivables and payables with such clients to be offset in the event of a client default. Management believes that the margin deposits held as of June 30, 2023 and September 30, 2022 were adequate to minimize the risk of material loss that could be created by positions held at that time. Additionally, the Company monitors collateral fair value on a daily basis and adjusts collateral levels in the event of excess market exposure.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involve varying degrees of off-balance sheet market risk whereby changes in the fair values of underlying financial instruments may result in changes in the fair value of the financial instruments in excess of the amounts reflected in the consolidated balance sheets. Exposure to market risk is influenced by a number of factors, including the relationships between the financial instruments and the Company’s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rates. The Company attempts to manage its exposure to market risk through various techniques. Aggregate market limits have been established and market risk measures are routinely monitored against these limits.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5 – Allowance for Doubtful Accounts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allowance for doubtful accounts related to deposits with and receivables from broker-dealers, clearing organizations, and counterparties was $0.1 million as of June 30, 2023 and $1.4 million as of September 30, 2022. The allowance for doubtful accounts related to receivables from clients was $53.2 million and $46.4 million as of June 30, 2023 and September 30, 2022, respectively. The Company had no allowance for doubtful accounts related to notes receivable as of June 30, 2023 and September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Activity in the allowance for doubtful accounts for the nine months ended June 30, 2023 was as follows:</w:t>
      </w:r>
    </w:p>
    <w:tbl>
      <w:tblPr>
        <w:tblW w:w="3351" w:type="dxa"/>
        <w:jc w:val="left"/>
        <w:tblInd w:w="0" w:type="dxa"/>
        <w:tblLayout w:type="fixed"/>
        <w:tblCellMar>
          <w:top w:w="28" w:type="dxa"/>
          <w:left w:w="28" w:type="dxa"/>
          <w:bottom w:w="28" w:type="dxa"/>
          <w:right w:w="28" w:type="dxa"/>
        </w:tblCellMar>
      </w:tblPr>
      <w:tblGrid>
        <w:gridCol w:w="919"/>
        <w:gridCol w:w="807"/>
        <w:gridCol w:w="809"/>
        <w:gridCol w:w="196"/>
        <w:gridCol w:w="46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30,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charge-offs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6 – Physical Commodities Inventory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inventories consist of finished physical commodities as shown below.</w:t>
      </w:r>
    </w:p>
    <w:tbl>
      <w:tblPr>
        <w:tblW w:w="6481" w:type="dxa"/>
        <w:jc w:val="left"/>
        <w:tblInd w:w="0" w:type="dxa"/>
        <w:tblLayout w:type="fixed"/>
        <w:tblCellMar>
          <w:top w:w="28" w:type="dxa"/>
          <w:left w:w="28" w:type="dxa"/>
          <w:bottom w:w="28" w:type="dxa"/>
          <w:right w:w="28" w:type="dxa"/>
        </w:tblCellMar>
      </w:tblPr>
      <w:tblGrid>
        <w:gridCol w:w="1488"/>
        <w:gridCol w:w="1308"/>
        <w:gridCol w:w="1313"/>
        <w:gridCol w:w="196"/>
        <w:gridCol w:w="556"/>
        <w:gridCol w:w="109"/>
        <w:gridCol w:w="109"/>
        <w:gridCol w:w="109"/>
        <w:gridCol w:w="109"/>
        <w:gridCol w:w="256"/>
        <w:gridCol w:w="727"/>
        <w:gridCol w:w="201"/>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Physical Ag &amp; Energy</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Precious metals - held by broker-dealer subsidiary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Precious metals - held by non-broker-dealer subsidiaries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Physical commodities inventory,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Physical Ag &amp; Energy consists of agricultural commodity inventories, including corn, soybeans, wheat, dried distillers grain, canola, sorghum, coffee, cocoa, cotton, and others. Agricultural inventories have reliable, readily determinable and realizable market prices, have relatively insignificant costs of disposal and are available for immediate delivery. Physical Ag &amp; Energy also includes energy related inventories, including primarily propane, gasoline, and kerosene. The Company records changes to these values in </w:t>
      </w:r>
      <w:r>
        <w:rPr>
          <w:rFonts w:ascii="Times New Roman;sans-serif" w:hAnsi="Times New Roman;sans-serif"/>
          <w:b w:val="false"/>
          <w:i/>
          <w:color w:val="000000"/>
          <w:sz w:val="20"/>
        </w:rPr>
        <w:t>Cost of sales of physical commodities</w:t>
      </w:r>
      <w:r>
        <w:rPr>
          <w:color w:val="000000"/>
        </w:rPr>
        <w:t xml:space="preserve"> </w:t>
      </w:r>
      <w:r>
        <w:rPr>
          <w:rFonts w:ascii="Times New Roman;sans-serif" w:hAnsi="Times New Roman;sans-serif"/>
          <w:b w:val="false"/>
          <w:color w:val="000000"/>
          <w:sz w:val="20"/>
        </w:rPr>
        <w:t>on the Condensed Consolidated Income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7 – Goodwill </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Goodwill allocated to the Company’s operating segments is as follows:</w:t>
      </w:r>
    </w:p>
    <w:tbl>
      <w:tblPr>
        <w:tblW w:w="3661" w:type="dxa"/>
        <w:jc w:val="left"/>
        <w:tblInd w:w="0" w:type="dxa"/>
        <w:tblLayout w:type="fixed"/>
        <w:tblCellMar>
          <w:top w:w="28" w:type="dxa"/>
          <w:left w:w="28" w:type="dxa"/>
          <w:bottom w:w="28" w:type="dxa"/>
          <w:right w:w="28" w:type="dxa"/>
        </w:tblCellMar>
      </w:tblPr>
      <w:tblGrid>
        <w:gridCol w:w="499"/>
        <w:gridCol w:w="438"/>
        <w:gridCol w:w="442"/>
        <w:gridCol w:w="196"/>
        <w:gridCol w:w="466"/>
        <w:gridCol w:w="109"/>
        <w:gridCol w:w="109"/>
        <w:gridCol w:w="109"/>
        <w:gridCol w:w="109"/>
        <w:gridCol w:w="284"/>
        <w:gridCol w:w="677"/>
        <w:gridCol w:w="223"/>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Commercial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Institutional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Retail </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Global Payments </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Goodwill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8 – Intangible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gross and net carrying values of intangible assets as of the balance sheet dates, by major intangible asset class are as follows (in millions):</w:t>
      </w:r>
    </w:p>
    <w:tbl>
      <w:tblPr>
        <w:tblW w:w="10205" w:type="dxa"/>
        <w:jc w:val="left"/>
        <w:tblInd w:w="0" w:type="dxa"/>
        <w:tblLayout w:type="fixed"/>
        <w:tblCellMar>
          <w:top w:w="28" w:type="dxa"/>
          <w:left w:w="28" w:type="dxa"/>
          <w:bottom w:w="28" w:type="dxa"/>
          <w:right w:w="28" w:type="dxa"/>
        </w:tblCellMar>
      </w:tblPr>
      <w:tblGrid>
        <w:gridCol w:w="749"/>
        <w:gridCol w:w="657"/>
        <w:gridCol w:w="662"/>
        <w:gridCol w:w="293"/>
        <w:gridCol w:w="698"/>
        <w:gridCol w:w="165"/>
        <w:gridCol w:w="109"/>
        <w:gridCol w:w="109"/>
        <w:gridCol w:w="109"/>
        <w:gridCol w:w="269"/>
        <w:gridCol w:w="661"/>
        <w:gridCol w:w="151"/>
        <w:gridCol w:w="109"/>
        <w:gridCol w:w="109"/>
        <w:gridCol w:w="109"/>
        <w:gridCol w:w="251"/>
        <w:gridCol w:w="598"/>
        <w:gridCol w:w="142"/>
        <w:gridCol w:w="109"/>
        <w:gridCol w:w="109"/>
        <w:gridCol w:w="109"/>
        <w:gridCol w:w="293"/>
        <w:gridCol w:w="698"/>
        <w:gridCol w:w="165"/>
        <w:gridCol w:w="109"/>
        <w:gridCol w:w="109"/>
        <w:gridCol w:w="109"/>
        <w:gridCol w:w="269"/>
        <w:gridCol w:w="661"/>
        <w:gridCol w:w="151"/>
        <w:gridCol w:w="109"/>
        <w:gridCol w:w="109"/>
        <w:gridCol w:w="109"/>
        <w:gridCol w:w="248"/>
        <w:gridCol w:w="591"/>
        <w:gridCol w:w="198"/>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Intangible assets subject to amortization</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Trade/domain names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Software programs/platforms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Client and supplier base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intangible assets subject to amortization</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Intangible assets not subject to amortization</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Website domains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licenses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intangible assets not subject to amortization</w:t>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intangible assets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was $3.9 million and $3.6 million for the three months ended June 30, 2023 and 2022, respectively. Amortization expense related to intangible assets was $11.9 million and $11.0 million for the nine months ended June 30, 2023 and 2022, respectively.</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estimated future amortization expense was as follows:</w:t>
      </w:r>
    </w:p>
    <w:tbl>
      <w:tblPr>
        <w:tblW w:w="4071" w:type="dxa"/>
        <w:jc w:val="left"/>
        <w:tblInd w:w="0" w:type="dxa"/>
        <w:tblLayout w:type="fixed"/>
        <w:tblCellMar>
          <w:top w:w="28" w:type="dxa"/>
          <w:left w:w="28" w:type="dxa"/>
          <w:bottom w:w="28" w:type="dxa"/>
          <w:right w:w="28" w:type="dxa"/>
        </w:tblCellMar>
      </w:tblPr>
      <w:tblGrid>
        <w:gridCol w:w="1179"/>
        <w:gridCol w:w="1036"/>
        <w:gridCol w:w="1040"/>
        <w:gridCol w:w="196"/>
        <w:gridCol w:w="46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Fiscal 2023 (remaining three months)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Fiscal 2024</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Fiscal 2025</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Fiscal 2026</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Fiscal 2027 and thereafter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intangible assets subject to amortization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9 – Credit Facilities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Committed Credit Facilities</w:t>
      </w:r>
    </w:p>
    <w:p>
      <w:pPr>
        <w:pStyle w:val="TextBody"/>
        <w:bidi w:val="0"/>
        <w:spacing w:lineRule="auto" w:line="288" w:before="120" w:after="120"/>
        <w:jc w:val="left"/>
        <w:rPr/>
      </w:pPr>
      <w:r>
        <w:rPr>
          <w:rFonts w:ascii="Times New Roman;sans-serif" w:hAnsi="Times New Roman;sans-serif"/>
          <w:b w:val="false"/>
          <w:color w:val="000000"/>
          <w:sz w:val="20"/>
        </w:rPr>
        <w:t>The Company has four committed credit facilities, including a senior secured term loan, under which the Company and its subsidiaries may borrow up to $1,155.0 million, subject to the terms and conditions for these facilities. The amounts outstanding under these credit facilities carry variable rates of interest, thus approximating fair value. The Company’s committed credit facili</w:t>
      </w:r>
      <w:r>
        <w:rPr>
          <w:rFonts w:ascii="Times New Roman;sans-serif" w:hAnsi="Times New Roman;sans-serif"/>
          <w:b w:val="false"/>
          <w:color w:val="000000"/>
          <w:sz w:val="20"/>
          <w:shd w:fill="FFFFFF" w:val="clear"/>
        </w:rPr>
        <w:t>ties consist of the following:</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A first-lien senior secured syndicated loan facility is available to the Company for general working capital requirements and capital expenditures. This revolving credit facility was amended during the period to increase the amount available from $475.0 million to </w:t>
      </w:r>
      <w:r>
        <w:rPr>
          <w:rFonts w:ascii="Times New Roman;sans-serif" w:hAnsi="Times New Roman;sans-serif"/>
          <w:b w:val="false"/>
          <w:color w:val="000000"/>
          <w:sz w:val="20"/>
        </w:rPr>
        <w:t>$500.0 million</w:t>
      </w:r>
      <w:r>
        <w:rPr>
          <w:color w:val="000000"/>
          <w:shd w:fill="FFFFFF" w:val="clear"/>
        </w:rPr>
        <w:t xml:space="preserve"> </w:t>
      </w:r>
      <w:r>
        <w:rPr>
          <w:rFonts w:ascii="Times New Roman;sans-serif" w:hAnsi="Times New Roman;sans-serif"/>
          <w:b w:val="false"/>
          <w:color w:val="000000"/>
          <w:sz w:val="20"/>
          <w:shd w:fill="FFFFFF" w:val="clear"/>
        </w:rPr>
        <w:t xml:space="preserve">and extend the maturity to April 21, 2026.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 unsecured syndicated committed line of credit under which $180.0 million is available to the Company’s wholly owned subsidiary, StoneX Financial Inc., to provide short-term funding of margin to commodity exchanges. The line of credit is subject to annual review and its continued availability is subject to StoneX Financial Inc.’s financial condition and operating results continuing to be satisfactory as set forth in the relevant agreement. This facility was amended during the nine months ended June 30, 2023 to increase the amount available from $75.0 million to $180.0 million and extend the maturity to December 11, 2023.</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A $400.0 million syndicated committed borrowing facility available to the Company’s wholly owned subsidiary, StoneX Commodity Solutions LLC, to finance commodity financing arrangements and commodity repurchase agreements. The facility is secured by the assets of StoneX Commodity Solutions LLC and guaranteed by the Company.</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 xml:space="preserve">An unsecured syndicated committed borrowing facility under which $75.0 million is available to the Company’s wholly owned subsidiary, StoneX Financial Ltd., for short-term funding of margin to commodity exchanges. This facility matures on October 14, 2023. The facility is guaranteed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Uncommitted Credit Facilities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access to certain uncommitted financing agreements that support its ordinary course securities and commodities inventories. The agreements are subject to certain borrowing terms and conditions.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Note Payable to Bank</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obtained a $9.0 million loan from a commercial bank, secured by equipment purchased with the proceeds. The note is payable in monthly installments, with the final payment due during December 2025. The note bears interest at a rate per annum equal to the Index rate, as defined in the agreement, plus 2.35%.</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Senior Secured Notes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June 11, 2020, the Company completed the issuance and sale of $350 million in aggregate principal amount of the Company’s 8.625% Senior Secured Notes due 2025 (the “Notes”) at the offering price of 98.5% of the aggregate principal amount. The Company used the proceeds from the issuance of the Notes to fund the consideration for the acquisition of Gain Capital Holdings, Inc., to pay acquisition related costs, and to fund the redemption of the amount of Gain’s notes outstanding at acquisition.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Notes will mature on June 15, 2025. Interest on the Notes accrues at a rate of 8.625% per annum and is payable semiannually in arrears on June 15 and December 15 of each year, commencing on December 15, 2020. In connection with issuing the Notes, the Company incurred debt issuance costs of $9.5 million, which are being amortized over the term of the Notes under the effective interest method.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listing of credit facilities, the current committed amounts as of the report date on the facilities, and outstanding borrowings on the facilities, as well as indebtedness on a promissory note and the Notes as of the periods indicated:</w:t>
      </w:r>
    </w:p>
    <w:tbl>
      <w:tblPr>
        <w:tblW w:w="10205" w:type="dxa"/>
        <w:jc w:val="left"/>
        <w:tblInd w:w="0" w:type="dxa"/>
        <w:tblLayout w:type="fixed"/>
        <w:tblCellMar>
          <w:top w:w="28" w:type="dxa"/>
          <w:left w:w="28" w:type="dxa"/>
          <w:bottom w:w="28" w:type="dxa"/>
          <w:right w:w="28" w:type="dxa"/>
        </w:tblCellMar>
      </w:tblPr>
      <w:tblGrid>
        <w:gridCol w:w="181"/>
        <w:gridCol w:w="159"/>
        <w:gridCol w:w="159"/>
        <w:gridCol w:w="1026"/>
        <w:gridCol w:w="878"/>
        <w:gridCol w:w="890"/>
        <w:gridCol w:w="449"/>
        <w:gridCol w:w="449"/>
        <w:gridCol w:w="455"/>
        <w:gridCol w:w="427"/>
        <w:gridCol w:w="427"/>
        <w:gridCol w:w="429"/>
        <w:gridCol w:w="109"/>
        <w:gridCol w:w="109"/>
        <w:gridCol w:w="109"/>
        <w:gridCol w:w="238"/>
        <w:gridCol w:w="843"/>
        <w:gridCol w:w="134"/>
        <w:gridCol w:w="109"/>
        <w:gridCol w:w="109"/>
        <w:gridCol w:w="109"/>
        <w:gridCol w:w="218"/>
        <w:gridCol w:w="621"/>
        <w:gridCol w:w="121"/>
        <w:gridCol w:w="139"/>
        <w:gridCol w:w="139"/>
        <w:gridCol w:w="139"/>
        <w:gridCol w:w="220"/>
        <w:gridCol w:w="624"/>
        <w:gridCol w:w="186"/>
      </w:tblGrid>
      <w:tr>
        <w:trPr/>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tcPr>
          <w:p>
            <w:pPr>
              <w:pStyle w:val="TableContents"/>
              <w:bidi w:val="0"/>
              <w:spacing w:before="0" w:after="283"/>
              <w:jc w:val="left"/>
              <w:rPr>
                <w:sz w:val="4"/>
                <w:szCs w:val="4"/>
              </w:rPr>
            </w:pPr>
            <w:r>
              <w:rPr>
                <w:sz w:val="4"/>
                <w:szCs w:val="4"/>
              </w:rPr>
            </w:r>
          </w:p>
        </w:tc>
      </w:tr>
      <w:tr>
        <w:trPr/>
        <w:tc>
          <w:tcPr>
            <w:tcW w:w="32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Outstanding</w:t>
            </w:r>
          </w:p>
        </w:tc>
      </w:tr>
      <w:tr>
        <w:trPr/>
        <w:tc>
          <w:tcPr>
            <w:tcW w:w="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Borrower</w:t>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Security </w:t>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Renewal/Expiration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32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Committed Credit Facilities</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StoneX Group Inc. Committed Credit Facility - Revolving Line of Credit</w:t>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StoneX Financial Inc. </w:t>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StoneX Commodity Solutions LLC</w:t>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commodities assets</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StoneX Financial Ltd. </w:t>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499"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Uncommitted Credit Facilities</w:t>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Various</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 Payable to Bank</w:t>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Certain equipment</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Secured Notes</w:t>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outstanding borrowings</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(1) The StoneX Group Inc. committed credit facility is secured by substantially all of the assets of StoneX Group Inc. and certain subsidiaries identified in the credit facility agreement as obligors, and pledged equity of certain subsidiaries identified in the credit facility as limited guarantors. The maturity date remains April 21, 2025 for one lender representing $42.5 million of the facility commitment.</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(2) The Notes and the related guarantees are secured by liens on substantially all of the Company’s and the guarantors’ assets, subject to certain customary and other exceptions and permitted liens. The liens on the assets that secure the Notes and the related guarantees are contractually subordinated to the liens on the assets that secure the Company’s and the guarantors’ existing and future first lien secured indebtedness, including indebtedness under the Company’s senior committed credit facility.</w:t>
      </w:r>
    </w:p>
    <w:p>
      <w:pPr>
        <w:pStyle w:val="TextBody"/>
        <w:bidi w:val="0"/>
        <w:spacing w:lineRule="auto" w:line="288" w:before="0" w:after="120"/>
        <w:jc w:val="left"/>
        <w:rPr>
          <w:rFonts w:ascii="Times New Roman;sans-serif" w:hAnsi="Times New Roman;sans-serif"/>
          <w:b w:val="false"/>
          <w:color w:val="000000"/>
          <w:sz w:val="18"/>
        </w:rPr>
      </w:pPr>
      <w:r>
        <w:rPr>
          <w:rFonts w:ascii="Times New Roman;sans-serif" w:hAnsi="Times New Roman;sans-serif"/>
          <w:b w:val="false"/>
          <w:color w:val="000000"/>
          <w:sz w:val="18"/>
        </w:rPr>
        <w:t>(3) Amounts outstanding under the Notes are reported net of unamortized original issue discount of $6.6 million and $8.8 million, in the respective periods presented.</w:t>
      </w:r>
    </w:p>
    <w:p>
      <w:pPr>
        <w:pStyle w:val="TextBody"/>
        <w:bidi w:val="0"/>
        <w:spacing w:lineRule="auto" w:line="288" w:before="0" w:after="120"/>
        <w:jc w:val="left"/>
        <w:rPr/>
      </w:pPr>
      <w:r>
        <w:rPr>
          <w:rFonts w:ascii="Times New Roman;sans-serif" w:hAnsi="Times New Roman;sans-serif"/>
          <w:b w:val="false"/>
          <w:color w:val="000000"/>
          <w:sz w:val="18"/>
        </w:rPr>
        <w:t xml:space="preserve">(4) Included in </w:t>
      </w:r>
      <w:r>
        <w:rPr>
          <w:rFonts w:ascii="Times New Roman;sans-serif" w:hAnsi="Times New Roman;sans-serif"/>
          <w:b w:val="false"/>
          <w:i/>
          <w:color w:val="000000"/>
          <w:sz w:val="18"/>
        </w:rPr>
        <w:t>Senior secured borrowings, net</w:t>
      </w:r>
      <w:r>
        <w:rPr>
          <w:color w:val="000000"/>
        </w:rPr>
        <w:t xml:space="preserve"> </w:t>
      </w:r>
      <w:r>
        <w:rPr>
          <w:rFonts w:ascii="Times New Roman;sans-serif" w:hAnsi="Times New Roman;sans-serif"/>
          <w:b w:val="false"/>
          <w:color w:val="000000"/>
          <w:sz w:val="18"/>
        </w:rPr>
        <w:t>on the Condensed Consolidated Balance Sheets</w:t>
      </w:r>
      <w:r>
        <w:rPr>
          <w:rFonts w:ascii="Times New Roman;sans-serif" w:hAnsi="Times New Roman;sans-serif"/>
          <w:b w:val="false"/>
          <w:i/>
          <w:color w:val="000000"/>
          <w:sz w:val="18"/>
        </w:rPr>
        <w:t>.</w:t>
      </w:r>
    </w:p>
    <w:p>
      <w:pPr>
        <w:pStyle w:val="TextBody"/>
        <w:bidi w:val="0"/>
        <w:spacing w:lineRule="auto" w:line="288" w:before="0" w:after="120"/>
        <w:jc w:val="left"/>
        <w:rPr/>
      </w:pPr>
      <w:r>
        <w:rPr>
          <w:rFonts w:ascii="Times New Roman;sans-serif" w:hAnsi="Times New Roman;sans-serif"/>
          <w:b w:val="false"/>
          <w:color w:val="000000"/>
          <w:sz w:val="18"/>
        </w:rPr>
        <w:t xml:space="preserve">(5) Included in </w:t>
      </w:r>
      <w:r>
        <w:rPr>
          <w:rFonts w:ascii="Times New Roman;sans-serif" w:hAnsi="Times New Roman;sans-serif"/>
          <w:b w:val="false"/>
          <w:i/>
          <w:color w:val="000000"/>
          <w:sz w:val="18"/>
        </w:rPr>
        <w:t>Lenders under loans</w:t>
      </w:r>
      <w:r>
        <w:rPr>
          <w:color w:val="000000"/>
        </w:rPr>
        <w:t xml:space="preserve"> </w:t>
      </w:r>
      <w:r>
        <w:rPr>
          <w:rFonts w:ascii="Times New Roman;sans-serif" w:hAnsi="Times New Roman;sans-serif"/>
          <w:b w:val="false"/>
          <w:color w:val="000000"/>
          <w:sz w:val="18"/>
        </w:rPr>
        <w:t>on the Condensed Consolidated Balance Sheets</w:t>
      </w:r>
      <w:r>
        <w:rPr>
          <w:rFonts w:ascii="Times New Roman;sans-serif" w:hAnsi="Times New Roman;sans-serif"/>
          <w:b w:val="false"/>
          <w:i/>
          <w:color w:val="000000"/>
          <w:sz w:val="18"/>
        </w:rPr>
        <w:t>.</w:t>
      </w:r>
    </w:p>
    <w:p>
      <w:pPr>
        <w:pStyle w:val="TextBody"/>
        <w:bidi w:val="0"/>
        <w:spacing w:lineRule="auto" w:line="288" w:before="120" w:after="120"/>
        <w:jc w:val="left"/>
        <w:rPr/>
      </w:pPr>
      <w:r>
        <w:rPr>
          <w:rFonts w:ascii="Times New Roman;sans-serif" w:hAnsi="Times New Roman;sans-serif"/>
          <w:b w:val="false"/>
          <w:color w:val="000000"/>
          <w:sz w:val="20"/>
          <w:shd w:fill="FFFFFF" w:val="clear"/>
        </w:rPr>
        <w:t>As reflected above, some of the Company’s committed credit facilities are scheduled to expire during the next twelve months following the quarterly period ended June 30, 2023.</w:t>
      </w:r>
      <w:r>
        <w:rPr>
          <w:color w:val="000000"/>
        </w:rPr>
        <w:t xml:space="preserve"> </w:t>
      </w:r>
      <w:r>
        <w:rPr>
          <w:rFonts w:ascii="Times New Roman;sans-serif" w:hAnsi="Times New Roman;sans-serif"/>
          <w:b w:val="false"/>
          <w:color w:val="000000"/>
          <w:sz w:val="20"/>
        </w:rPr>
        <w:t>The</w:t>
      </w:r>
      <w:r>
        <w:rPr>
          <w:color w:val="000000"/>
          <w:shd w:fill="FFFFFF" w:val="clear"/>
        </w:rPr>
        <w:t xml:space="preserve"> </w:t>
      </w:r>
      <w:r>
        <w:rPr>
          <w:rFonts w:ascii="Times New Roman;sans-serif" w:hAnsi="Times New Roman;sans-serif"/>
          <w:b w:val="false"/>
          <w:color w:val="000000"/>
          <w:sz w:val="20"/>
          <w:shd w:fill="FFFFFF" w:val="clear"/>
        </w:rPr>
        <w:t>Company intends to renew or replace the other facilities as they expire, and based on the Company’s liquidity position and capital structure, the Company believes it will be able to do so.</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credit facility agreements contain financial covenants relating to financial measures on a consolidated basis, as well as on a certain stand-alone subsidiary basis, including minimum tangible net worth, minimum regulatory capital,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unencumbered liquid assets, maximum net loss, minimum fixed charge coverage ratio and maximum funded debt to net worth ratio. Failure to comply with these covenants could result in the debt becoming payable on demand. As of June 30, 2023, the Company was in compliance with all of its financial covenants under its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10 – Securities and Commodity Financing Transactions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repurchase agreements and securities borrowing and lending arrangements are generally recorded at cost in the Condensed Consolidated Balance Sheets, which is a reasonable approximation of their fair values due to their short-term nature. Secured borrowing and lending arrangements are entered into to obtain collateral necessary to effect settlement, finance inventory positions, meet customer needs or re-lend as part of our dealer operations. The fair value of securities loaned and borrowed is monitored daily compared with the related payable or receivable, and additional collateral or returning excess collateral is requested, as appropriate. These arrangements may serve to limit credit risk resulting from our transactions with our counterparties. Financial instruments are pledged as collateral under repurchase agreements, securities lending agreements and other secured arrangements, including clearing arrangements. Agreements with counterparties generally contain contractual provisions allowing counterparties the right to sell or repledge collateral. Either the Company or its counterparties may require additional collateral. All collateral is held by the Company or a custodian.</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the carrying value of repurchase agreements, and securities lending agreements by remaining contractual maturity (in millions): </w:t>
      </w:r>
    </w:p>
    <w:tbl>
      <w:tblPr>
        <w:tblW w:w="10205" w:type="dxa"/>
        <w:jc w:val="left"/>
        <w:tblInd w:w="0" w:type="dxa"/>
        <w:tblLayout w:type="fixed"/>
        <w:tblCellMar>
          <w:top w:w="28" w:type="dxa"/>
          <w:left w:w="28" w:type="dxa"/>
          <w:bottom w:w="28" w:type="dxa"/>
          <w:right w:w="28" w:type="dxa"/>
        </w:tblCellMar>
      </w:tblPr>
      <w:tblGrid>
        <w:gridCol w:w="1078"/>
        <w:gridCol w:w="948"/>
        <w:gridCol w:w="952"/>
        <w:gridCol w:w="273"/>
        <w:gridCol w:w="1090"/>
        <w:gridCol w:w="152"/>
        <w:gridCol w:w="109"/>
        <w:gridCol w:w="109"/>
        <w:gridCol w:w="109"/>
        <w:gridCol w:w="299"/>
        <w:gridCol w:w="850"/>
        <w:gridCol w:w="166"/>
        <w:gridCol w:w="109"/>
        <w:gridCol w:w="109"/>
        <w:gridCol w:w="109"/>
        <w:gridCol w:w="229"/>
        <w:gridCol w:w="545"/>
        <w:gridCol w:w="127"/>
        <w:gridCol w:w="109"/>
        <w:gridCol w:w="109"/>
        <w:gridCol w:w="109"/>
        <w:gridCol w:w="267"/>
        <w:gridCol w:w="636"/>
        <w:gridCol w:w="148"/>
        <w:gridCol w:w="109"/>
        <w:gridCol w:w="109"/>
        <w:gridCol w:w="109"/>
        <w:gridCol w:w="196"/>
        <w:gridCol w:w="781"/>
        <w:gridCol w:w="160"/>
      </w:tblGrid>
      <w:tr>
        <w:trPr/>
        <w:tc>
          <w:tcPr>
            <w:tcW w:w="107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Open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 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sold under agreements to repurchase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11,141.4 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1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amount of secured financing</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12,234.7 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12,906.7 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96"/>
        <w:gridCol w:w="965"/>
        <w:gridCol w:w="968"/>
        <w:gridCol w:w="298"/>
        <w:gridCol w:w="1050"/>
        <w:gridCol w:w="165"/>
        <w:gridCol w:w="109"/>
        <w:gridCol w:w="109"/>
        <w:gridCol w:w="109"/>
        <w:gridCol w:w="264"/>
        <w:gridCol w:w="935"/>
        <w:gridCol w:w="147"/>
        <w:gridCol w:w="109"/>
        <w:gridCol w:w="109"/>
        <w:gridCol w:w="109"/>
        <w:gridCol w:w="208"/>
        <w:gridCol w:w="594"/>
        <w:gridCol w:w="115"/>
        <w:gridCol w:w="109"/>
        <w:gridCol w:w="109"/>
        <w:gridCol w:w="109"/>
        <w:gridCol w:w="300"/>
        <w:gridCol w:w="577"/>
        <w:gridCol w:w="166"/>
        <w:gridCol w:w="109"/>
        <w:gridCol w:w="109"/>
        <w:gridCol w:w="109"/>
        <w:gridCol w:w="196"/>
        <w:gridCol w:w="691"/>
        <w:gridCol w:w="162"/>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Overnight and Open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Over 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sold under agreements to repurchase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amount of secured financing</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4,854.2 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7,323.0 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Offsetting of Collateralized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carrying value of repurchase agreements and securities lending agreements by class of collateral pledged (in millions): </w:t>
      </w:r>
    </w:p>
    <w:tbl>
      <w:tblPr>
        <w:tblW w:w="6717" w:type="dxa"/>
        <w:jc w:val="left"/>
        <w:tblInd w:w="0" w:type="dxa"/>
        <w:tblLayout w:type="fixed"/>
        <w:tblCellMar>
          <w:top w:w="28" w:type="dxa"/>
          <w:left w:w="28" w:type="dxa"/>
          <w:bottom w:w="28" w:type="dxa"/>
          <w:right w:w="28" w:type="dxa"/>
        </w:tblCellMar>
      </w:tblPr>
      <w:tblGrid>
        <w:gridCol w:w="1329"/>
        <w:gridCol w:w="1169"/>
        <w:gridCol w:w="1177"/>
        <w:gridCol w:w="203"/>
        <w:gridCol w:w="809"/>
        <w:gridCol w:w="113"/>
        <w:gridCol w:w="109"/>
        <w:gridCol w:w="109"/>
        <w:gridCol w:w="109"/>
        <w:gridCol w:w="299"/>
        <w:gridCol w:w="1056"/>
        <w:gridCol w:w="235"/>
      </w:tblGrid>
      <w:tr>
        <w:trPr/>
        <w:tc>
          <w:tcPr>
            <w:tcW w:w="132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Securities sold under agreements to repurchase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obligations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agency obligations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obligations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Agency mortgage-backed obligations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 obligations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securities sold under agreement to repurchase</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6,133.5 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loaned</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Equity securities </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securities loaned</w:t>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amount of secured financing</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12,906.7 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7,323.0 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180"/>
        <w:jc w:val="left"/>
        <w:rPr/>
      </w:pPr>
      <w:r>
        <w:rPr/>
      </w:r>
    </w:p>
    <w:p>
      <w:pPr>
        <w:pStyle w:val="TextBody"/>
        <w:bidi w:val="0"/>
        <w:spacing w:lineRule="auto" w:line="276" w:before="2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the netting of securities purchased under agreements to resell, securities sold under agreements to repurchase, securities borrowed and securities loaned as of the periods indicated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94"/>
        <w:gridCol w:w="698"/>
        <w:gridCol w:w="700"/>
        <w:gridCol w:w="282"/>
        <w:gridCol w:w="1125"/>
        <w:gridCol w:w="156"/>
        <w:gridCol w:w="109"/>
        <w:gridCol w:w="109"/>
        <w:gridCol w:w="109"/>
        <w:gridCol w:w="505"/>
        <w:gridCol w:w="1965"/>
        <w:gridCol w:w="280"/>
        <w:gridCol w:w="109"/>
        <w:gridCol w:w="109"/>
        <w:gridCol w:w="109"/>
        <w:gridCol w:w="571"/>
        <w:gridCol w:w="2017"/>
        <w:gridCol w:w="458"/>
      </w:tblGrid>
      <w:tr>
        <w:trPr/>
        <w:tc>
          <w:tcPr>
            <w:tcW w:w="7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Offsetting of collateralized transactions:</w:t>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Amounts Offset in the Condensed Consolidated Balance Sheet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Presented in the Condensed Consolidated Balance Sheet</w:t>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(6,783.9)</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2,642.0 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0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1,094.3 </w:t>
            </w:r>
          </w:p>
        </w:tc>
        <w:tc>
          <w:tcPr>
            <w:tcW w:w="4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(6,783.9)</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5,029.5 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6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0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1,093.3 </w:t>
            </w:r>
          </w:p>
        </w:tc>
        <w:tc>
          <w:tcPr>
            <w:tcW w:w="4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8"/>
        <w:gridCol w:w="701"/>
        <w:gridCol w:w="703"/>
        <w:gridCol w:w="299"/>
        <w:gridCol w:w="1056"/>
        <w:gridCol w:w="166"/>
        <w:gridCol w:w="109"/>
        <w:gridCol w:w="109"/>
        <w:gridCol w:w="109"/>
        <w:gridCol w:w="507"/>
        <w:gridCol w:w="1976"/>
        <w:gridCol w:w="282"/>
        <w:gridCol w:w="109"/>
        <w:gridCol w:w="109"/>
        <w:gridCol w:w="109"/>
        <w:gridCol w:w="574"/>
        <w:gridCol w:w="2028"/>
        <w:gridCol w:w="46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Offsetting of collateralized transactions:</w:t>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Amounts Offset in the Condensed Consolidated Balance Sheet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Amounts Presented in the Condensed Consolidated Balance Sheet</w:t>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purchased under agreements to resell</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4,609.9 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(2,937.9)</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borrowed</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0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1,209.8 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(2,937.9)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3,195.6 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loaned</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97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0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pledges securities owned as collateral in both tri-party and bilateral arrangements. Pledged securities under tri-party arrangements may not be repledged or sold by the Company’s counterparties, whereas bilaterally pledged securities may be. The approximate fair value of pledged securities that can be sold or repledged by the Company’s counterparties has been parenthetically disclosed on the Condensed Consolidated Balance Sheets.</w:t>
      </w:r>
    </w:p>
    <w:p>
      <w:pPr>
        <w:pStyle w:val="TextBody"/>
        <w:bidi w:val="0"/>
        <w:spacing w:lineRule="auto" w:line="26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receives securities as collateral under reverse repurchase agreements, securities borrowed agreements, and margin securities held on behalf of counterparties. This collateral is used by the Company to cover financial instruments sold, not yet purchased; to obtain financing in the form of repurchase agreements; and to meet counterparties’ needs under lending arrangement and matched-booked trading strategies. Additional securities collateral is obtained as necessary to ensure such transactions are adequately collateralized. In many instances, the Company is permitted by contract to repledge the securities received as collateral, which may include pledges to cover collateral requirements for tri-party repurchase agreements.</w:t>
      </w:r>
    </w:p>
    <w:p>
      <w:pPr>
        <w:pStyle w:val="TextBody"/>
        <w:bidi w:val="0"/>
        <w:spacing w:lineRule="auto" w:line="26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carrying value of collateral pledged, received and repledged (in millions):</w:t>
      </w:r>
    </w:p>
    <w:tbl>
      <w:tblPr>
        <w:tblW w:w="10205" w:type="dxa"/>
        <w:jc w:val="left"/>
        <w:tblInd w:w="0" w:type="dxa"/>
        <w:tblLayout w:type="fixed"/>
        <w:tblCellMar>
          <w:top w:w="28" w:type="dxa"/>
          <w:left w:w="28" w:type="dxa"/>
          <w:bottom w:w="28" w:type="dxa"/>
          <w:right w:w="28" w:type="dxa"/>
        </w:tblCellMar>
      </w:tblPr>
      <w:tblGrid>
        <w:gridCol w:w="2655"/>
        <w:gridCol w:w="2328"/>
        <w:gridCol w:w="2342"/>
        <w:gridCol w:w="201"/>
        <w:gridCol w:w="801"/>
        <w:gridCol w:w="111"/>
        <w:gridCol w:w="109"/>
        <w:gridCol w:w="109"/>
        <w:gridCol w:w="109"/>
        <w:gridCol w:w="270"/>
        <w:gridCol w:w="954"/>
        <w:gridCol w:w="216"/>
      </w:tblGrid>
      <w:tr>
        <w:trPr/>
        <w:tc>
          <w:tcPr>
            <w:tcW w:w="2655"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2022</w:t>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pledged or repledged to cover collateral requirements for tri-party arrangements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3,787.8 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received as collateral that may be repledged</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received as collateral that may be repledged covering securities sold short</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Repledged securities borrowed and client securities held under custodial clearing arrangements to collateralize securities loaned agreements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11 – Commitments and Contingencies</w:t>
      </w:r>
    </w:p>
    <w:p>
      <w:pPr>
        <w:pStyle w:val="TextBody"/>
        <w:bidi w:val="0"/>
        <w:spacing w:before="0" w:after="0"/>
        <w:jc w:val="left"/>
        <w:rPr/>
      </w:pPr>
      <w:r>
        <w:rPr/>
      </w:r>
    </w:p>
    <w:p>
      <w:pPr>
        <w:pStyle w:val="TextBody"/>
        <w:bidi w:val="0"/>
        <w:spacing w:lineRule="auto" w:line="288" w:before="20" w:after="283"/>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2018, balances in approximately 300 client accounts of the FCM division of the Company’s wholly owned subsidiary, StoneX Financial Inc., declined below required maintenance margin levels and into deficit balances, primarily as a result of significant and unexpected price fluctuations in the natural gas markets. All positions in these accounts, which were managed by OptionSellers.com Inc. (“OptionSellers”), an independent Commodity Trading Advisor (“CTA”), were liquidated in accordance with StoneX Financial Inc.’s client agreements and obligations under market regulation standards.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CTA is registered with the U.S. Commodity Futures Trading Commission (“CFTC”) and a member of, and subject to audit by, the National Futures Association (“NFA”). OptionSellers was registered under a CFTC Rule 4.7 exemption for providing services only to “qualified eligible persons,” which requires the account holders authorizing OptionSellers to act as their CTA to meet or exceed certain minimum financial requirements. OptionSellers, in its role as a CTA, had been granted by each of its clients full discretionary authority to manage the trading in the clients’ accounts, while StoneX Financial Inc. acted solely as the clearing firm in its role as the FCM.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StoneX Financial Inc.’s client agreements hold account holders liable for all losses in their accounts and obligate the account holders to reimburse StoneX Financial Inc. for any deficits in their accounts. As of June 30, 2023, the receivable from these client accounts, net of collections and other allowable deductions, was $20.8 million, with no individual account receivable exceeding $1.4 million. As of June 30, 2023, the allowance against these uncollected balances was $6.6 million. The Company is pursuing collection of the uncollected balances through arbitration proceedings against the account holders. The Company will consider developments in these proceedings, and any other relevant matters, in determining whether any changes in the allowance against the uncollected balances are required.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these and other arbitration proceedings, clients are seeking damages from StoneX Financial Inc. related to the trading losses in their accounts. During the nine months ended June 30, 2023, the Company reached privately negotiated settlements of a number of arbitration proceedings, pursuant to which in most cases the account holders agreed to pay all or a substantial portion of their outstanding deficit balances and in some cases the Company agreed to make certain payments to the account holders that are not material to the Company, individually or in the aggregate. The Company intends to continue vigorously pursuing claims through arbitration and settling cases in what the Company determines to be appropriate circumstances. The ultimate outcome of remaining arbitrations cannot presently be determined.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future collections and the outcomes of arbitration proceedings, any provisions for bad debts and actual losses may or may not be material to the Company’s financial results. However, the Company believes that the likelihood of a material adverse outcome is remote, and does not currently believe that any potential losses related to this matter would impact its ability to comply with its ongoing liquidity, capital, and regulatory requirements.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and in the ordinary course of business, the Company is involved in various legal actions and proceedings, including tort claims, contractual disputes, employment matters, workers’ compensation claims and collections. The Company carries insurance that provides protection against certain types of claims, up to the relevant policy’s limits.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September 30, 2022, the Condensed Consolidated Balance Sheets include loss contingency accruals which are not material, individually or in the aggregate, to the Company’s financial position or liquidity. In the opinion of management, possible exposure from loss contingencies in excess of the amounts accrued, is not likely to be material to the Company’s earnings, financial position or liquidity.</w:t>
      </w:r>
    </w:p>
    <w:p>
      <w:pPr>
        <w:pStyle w:val="TextBody"/>
        <w:bidi w:val="0"/>
        <w:spacing w:lineRule="auto" w:line="288" w:before="120" w:after="120"/>
        <w:jc w:val="left"/>
        <w:rPr/>
      </w:pPr>
      <w:r>
        <w:rPr>
          <w:rFonts w:ascii="Times New Roman;sans-serif" w:hAnsi="Times New Roman;sans-serif"/>
          <w:b w:val="false"/>
          <w:color w:val="000000"/>
          <w:sz w:val="20"/>
        </w:rPr>
        <w:t xml:space="preserve">Other than the updates provided within </w:t>
      </w:r>
      <w:r>
        <w:rPr>
          <w:rFonts w:ascii="Times New Roman;sans-serif" w:hAnsi="Times New Roman;sans-serif"/>
          <w:b w:val="false"/>
          <w:i/>
          <w:color w:val="000000"/>
          <w:sz w:val="20"/>
        </w:rPr>
        <w:t>Contingencies</w:t>
      </w:r>
      <w:r>
        <w:rPr>
          <w:rFonts w:ascii="Times New Roman;sans-serif" w:hAnsi="Times New Roman;sans-serif"/>
          <w:b w:val="false"/>
          <w:color w:val="000000"/>
          <w:sz w:val="20"/>
        </w:rPr>
        <w:t>, above, there have been no material changes to the legal actions and proceedings compared to September 30, 2022.</w:t>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Contractual Commitments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Self-Insurance</w:t>
      </w:r>
    </w:p>
    <w:p>
      <w:pPr>
        <w:pStyle w:val="TextBody"/>
        <w:bidi w:val="0"/>
        <w:spacing w:lineRule="auto" w:line="288" w:before="120" w:after="180"/>
        <w:jc w:val="left"/>
        <w:rPr/>
      </w:pPr>
      <w:r>
        <w:rPr>
          <w:rFonts w:ascii="Times New Roman;sans-serif" w:hAnsi="Times New Roman;sans-serif"/>
          <w:b w:val="false"/>
          <w:color w:val="000000"/>
          <w:sz w:val="20"/>
        </w:rPr>
        <w:t xml:space="preserve">The Company self-insures its costs related to medical and dental claims. The Company is self-insured, up to a stop loss amount, for eligible participating employees and retirees, and for qualified dependent medical and dental claims, subject to deductibles and limitations. As of June 30, 2023, the Company had $1.6 million accrued for self-insured medical and dental claims included in </w:t>
      </w:r>
      <w:r>
        <w:rPr>
          <w:rFonts w:ascii="Times New Roman;sans-serif" w:hAnsi="Times New Roman;sans-serif"/>
          <w:b w:val="false"/>
          <w:i/>
          <w:color w:val="000000"/>
          <w:sz w:val="20"/>
        </w:rPr>
        <w:t>Accounts payable and other accrued liabilities</w:t>
      </w:r>
      <w:r>
        <w:rPr>
          <w:color w:val="000000"/>
        </w:rPr>
        <w:t xml:space="preserve"> </w:t>
      </w:r>
      <w:r>
        <w:rPr>
          <w:rFonts w:ascii="Times New Roman;sans-serif" w:hAnsi="Times New Roman;sans-serif"/>
          <w:b w:val="false"/>
          <w:color w:val="000000"/>
          <w:sz w:val="20"/>
        </w:rPr>
        <w:t>in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12 – Accumulated Other Comprehensive Loss, Net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consists of net income and other gains and losses affecting stockholders’ equity that, under U.S. GAAP, are excluded from net income. Other comprehensive income includes net actuarial losses from defined benefit pension plans, foreign currency translation adjustments, and cash flow hedge gains or losses. See notes 1 and 4 for additional information on cash flow hedges.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accumulated other comprehensive loss, net for the nine months ended June 30, 2023.</w:t>
      </w:r>
    </w:p>
    <w:tbl>
      <w:tblPr>
        <w:tblW w:w="10205" w:type="dxa"/>
        <w:jc w:val="left"/>
        <w:tblInd w:w="0" w:type="dxa"/>
        <w:tblLayout w:type="fixed"/>
        <w:tblCellMar>
          <w:top w:w="28" w:type="dxa"/>
          <w:left w:w="28" w:type="dxa"/>
          <w:bottom w:w="28" w:type="dxa"/>
          <w:right w:w="28" w:type="dxa"/>
        </w:tblCellMar>
      </w:tblPr>
      <w:tblGrid>
        <w:gridCol w:w="840"/>
        <w:gridCol w:w="571"/>
        <w:gridCol w:w="533"/>
        <w:gridCol w:w="109"/>
        <w:gridCol w:w="109"/>
        <w:gridCol w:w="109"/>
        <w:gridCol w:w="487"/>
        <w:gridCol w:w="1198"/>
        <w:gridCol w:w="275"/>
        <w:gridCol w:w="109"/>
        <w:gridCol w:w="109"/>
        <w:gridCol w:w="109"/>
        <w:gridCol w:w="423"/>
        <w:gridCol w:w="845"/>
        <w:gridCol w:w="237"/>
        <w:gridCol w:w="109"/>
        <w:gridCol w:w="109"/>
        <w:gridCol w:w="109"/>
        <w:gridCol w:w="250"/>
        <w:gridCol w:w="660"/>
        <w:gridCol w:w="139"/>
        <w:gridCol w:w="109"/>
        <w:gridCol w:w="109"/>
        <w:gridCol w:w="109"/>
        <w:gridCol w:w="109"/>
        <w:gridCol w:w="109"/>
        <w:gridCol w:w="521"/>
        <w:gridCol w:w="1281"/>
        <w:gridCol w:w="419"/>
      </w:tblGrid>
      <w:tr>
        <w:trPr/>
        <w:tc>
          <w:tcPr>
            <w:tcW w:w="8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Foreign Currency Translation Adjustment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Pension Benefits Adjustment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Flow Hedge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net</w:t>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13 – Revenue from Contracts with Clients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revenue earned from contracts with clients for services such as the execution, clearing, brokering, and custody of futures and options on futures contracts, OTC derivatives, and securities, investment management, and underwriting services in accordance with FASB ASC 606, Revenues from Contracts with Customers (Topic 606). Revenues for these services are recognized when the performance obligations related to the underlying transaction are completed.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recognized when control of the promised goods or services are transferred to clients, in an amount that reflects the consideration the Company expects to be entitled to in exchange for those goods or services. Revenues are analyzed to determine whether the Company is the principal (i.e. reports revenue on a gross basis) or agent (i.e., reports revenues on a net basis) in the contract. Principal or agent designations depend primarily on the control an entity has over the good or service before control is transferred to a client. The indicators of which party exercises control include primary responsibility over performance obligations, inventory risk before the good or service is transferred, and discretion in establishing the price.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Topic 606 does not apply to revenues associated with dealing, or market-making, activities in financial instruments or contracts in the capacity of a principal, including derivative sales contracts which result in physical settlement and interest income. </w:t>
      </w:r>
    </w:p>
    <w:p>
      <w:pPr>
        <w:pStyle w:val="TextBody"/>
        <w:bidi w:val="0"/>
        <w:spacing w:lineRule="auto" w:line="288" w:before="0" w:after="160"/>
        <w:jc w:val="left"/>
        <w:rPr/>
      </w:pPr>
      <w:r>
        <w:rPr>
          <w:rFonts w:ascii="Times New Roman;sans-serif" w:hAnsi="Times New Roman;sans-serif"/>
          <w:b w:val="false"/>
          <w:color w:val="000000"/>
          <w:sz w:val="20"/>
        </w:rPr>
        <w:t xml:space="preserve">Revenues within the scope of Topic 606 are presented within </w:t>
      </w:r>
      <w:r>
        <w:rPr>
          <w:rFonts w:ascii="Times New Roman;sans-serif" w:hAnsi="Times New Roman;sans-serif"/>
          <w:b w:val="false"/>
          <w:i/>
          <w:color w:val="000000"/>
          <w:sz w:val="20"/>
        </w:rPr>
        <w:t>Commission and clearing fees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Consulting, management, and account fees</w:t>
      </w:r>
      <w:r>
        <w:rPr>
          <w:color w:val="000000"/>
        </w:rPr>
        <w:t xml:space="preserve"> </w:t>
      </w:r>
      <w:r>
        <w:rPr>
          <w:rFonts w:ascii="Times New Roman;sans-serif" w:hAnsi="Times New Roman;sans-serif"/>
          <w:b w:val="false"/>
          <w:color w:val="000000"/>
          <w:sz w:val="20"/>
        </w:rPr>
        <w:t xml:space="preserve">on the Condensed Consolidated Income Statements. Revenues that are not within the scope of Topic 606 are presented within </w:t>
      </w:r>
      <w:r>
        <w:rPr>
          <w:rFonts w:ascii="Times New Roman;sans-serif" w:hAnsi="Times New Roman;sans-serif"/>
          <w:b w:val="false"/>
          <w:i/>
          <w:color w:val="000000"/>
          <w:sz w:val="20"/>
        </w:rPr>
        <w:t>Sales of physical commodities</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Principal gains, net</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 xml:space="preserve">on the Condensed Consolidated Income Statements. </w:t>
      </w:r>
    </w:p>
    <w:tbl>
      <w:tblPr>
        <w:tblW w:w="9765" w:type="dxa"/>
        <w:jc w:val="left"/>
        <w:tblInd w:w="0" w:type="dxa"/>
        <w:tblLayout w:type="fixed"/>
        <w:tblCellMar>
          <w:top w:w="28" w:type="dxa"/>
          <w:left w:w="28" w:type="dxa"/>
          <w:bottom w:w="28" w:type="dxa"/>
          <w:right w:w="28" w:type="dxa"/>
        </w:tblCellMar>
      </w:tblPr>
      <w:tblGrid>
        <w:gridCol w:w="1794"/>
        <w:gridCol w:w="1575"/>
        <w:gridCol w:w="1580"/>
        <w:gridCol w:w="198"/>
        <w:gridCol w:w="198"/>
        <w:gridCol w:w="438"/>
        <w:gridCol w:w="198"/>
        <w:gridCol w:w="198"/>
        <w:gridCol w:w="198"/>
        <w:gridCol w:w="198"/>
        <w:gridCol w:w="198"/>
        <w:gridCol w:w="438"/>
        <w:gridCol w:w="109"/>
        <w:gridCol w:w="109"/>
        <w:gridCol w:w="109"/>
        <w:gridCol w:w="193"/>
        <w:gridCol w:w="187"/>
        <w:gridCol w:w="414"/>
        <w:gridCol w:w="187"/>
        <w:gridCol w:w="187"/>
        <w:gridCol w:w="187"/>
        <w:gridCol w:w="193"/>
        <w:gridCol w:w="187"/>
        <w:gridCol w:w="492"/>
      </w:tblGrid>
      <w:tr>
        <w:trPr/>
        <w:tc>
          <w:tcPr>
            <w:tcW w:w="17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from contracts with clients as a percentage of total revenues</w:t>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represents a disaggregation of the Company’s total revenues separated between revenues from contracts with clients and other sources of revenue for the periods indicated. </w:t>
      </w:r>
    </w:p>
    <w:tbl>
      <w:tblPr>
        <w:tblW w:w="9029" w:type="dxa"/>
        <w:jc w:val="left"/>
        <w:tblInd w:w="0" w:type="dxa"/>
        <w:tblLayout w:type="fixed"/>
        <w:tblCellMar>
          <w:top w:w="28" w:type="dxa"/>
          <w:left w:w="28" w:type="dxa"/>
          <w:bottom w:w="28" w:type="dxa"/>
          <w:right w:w="28" w:type="dxa"/>
        </w:tblCellMar>
      </w:tblPr>
      <w:tblGrid>
        <w:gridCol w:w="1327"/>
        <w:gridCol w:w="1164"/>
        <w:gridCol w:w="1168"/>
        <w:gridCol w:w="196"/>
        <w:gridCol w:w="781"/>
        <w:gridCol w:w="109"/>
        <w:gridCol w:w="109"/>
        <w:gridCol w:w="109"/>
        <w:gridCol w:w="109"/>
        <w:gridCol w:w="196"/>
        <w:gridCol w:w="781"/>
        <w:gridCol w:w="109"/>
        <w:gridCol w:w="109"/>
        <w:gridCol w:w="109"/>
        <w:gridCol w:w="109"/>
        <w:gridCol w:w="196"/>
        <w:gridCol w:w="781"/>
        <w:gridCol w:w="109"/>
        <w:gridCol w:w="109"/>
        <w:gridCol w:w="109"/>
        <w:gridCol w:w="109"/>
        <w:gridCol w:w="196"/>
        <w:gridCol w:w="78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Revenues from contracts with clients: </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Commission and clearing fees: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Sales-based: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Exchange-traded futures and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OTC derivative brokerage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Equities and fixed income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Mutual funds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Insurance and annuity products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sales-based commission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Trailing:</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Mutual funds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Insurance and annuity products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trailing commission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conversion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commission and clearing fees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Consulting, management, and account fees: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Underwriting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Asset management fees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Advisory and consulting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Sweep program fees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Client account fees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consulting, management, and account fees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physical commodities: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Precious metals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contracts with clients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Method of revenue recognition:</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Point-in-time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Time elapsed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from contracts with clients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sources of revenues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Physical precious metals trading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Physical agricultural and energy product trading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income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 by primary geographic region: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United States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South America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Middle East and Asia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 by primary geographic region: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Europe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America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Middle East and Asia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substantial majority of the Company’s performance obligations for revenues from contracts with clients are satisfied at a point in time and are typically collected from clients by debiting their accounts with the Company. </w:t>
      </w:r>
    </w:p>
    <w:p>
      <w:pPr>
        <w:pStyle w:val="TextBody"/>
        <w:bidi w:val="0"/>
        <w:spacing w:lineRule="auto" w:line="288" w:before="120" w:after="120"/>
        <w:jc w:val="left"/>
        <w:rPr/>
      </w:pPr>
      <w:r>
        <w:rPr>
          <w:rFonts w:ascii="Times New Roman;sans-serif" w:hAnsi="Times New Roman;sans-serif"/>
          <w:b w:val="false"/>
          <w:color w:val="000000"/>
          <w:sz w:val="20"/>
        </w:rPr>
        <w:t xml:space="preserve">Commission and clearing fee revenue and consulting, management, and account fees revenue are primarily related to the Commercial, Institutional and Retail reportable segments. </w:t>
      </w:r>
      <w:r>
        <w:rPr>
          <w:rFonts w:ascii="Times New Roman;sans-serif" w:hAnsi="Times New Roman;sans-serif"/>
          <w:b w:val="false"/>
          <w:i/>
          <w:color w:val="000000"/>
          <w:sz w:val="20"/>
        </w:rPr>
        <w:t>Principal gains, net</w:t>
      </w:r>
      <w:r>
        <w:rPr>
          <w:color w:val="000000"/>
        </w:rPr>
        <w:t xml:space="preserve"> </w:t>
      </w:r>
      <w:r>
        <w:rPr>
          <w:rFonts w:ascii="Times New Roman;sans-serif" w:hAnsi="Times New Roman;sans-serif"/>
          <w:b w:val="false"/>
          <w:color w:val="000000"/>
          <w:sz w:val="20"/>
        </w:rPr>
        <w:t xml:space="preserve">are contributed by all of the Company’s reportable segments. </w:t>
      </w: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is primarily related to the Commercial and Institutional reportable segments. Precious metals trading and agricultural and energy product trading revenues are primarily related to the Commercial reportable segment. Precious metals sales that are recognized on a point-in-time basis are included in the Retail and the Commercial reportable segments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Principal gains, net also includes dividend income on long equity positions and dividend expense on short equity positions, which are recognized on the ex-dividend date. The following table indicates the relevant income and expense:</w:t>
      </w:r>
    </w:p>
    <w:tbl>
      <w:tblPr>
        <w:tblW w:w="9349" w:type="dxa"/>
        <w:jc w:val="left"/>
        <w:tblInd w:w="0" w:type="dxa"/>
        <w:tblLayout w:type="fixed"/>
        <w:tblCellMar>
          <w:top w:w="28" w:type="dxa"/>
          <w:left w:w="28" w:type="dxa"/>
          <w:bottom w:w="28" w:type="dxa"/>
          <w:right w:w="28" w:type="dxa"/>
        </w:tblCellMar>
      </w:tblPr>
      <w:tblGrid>
        <w:gridCol w:w="1646"/>
        <w:gridCol w:w="1447"/>
        <w:gridCol w:w="1451"/>
        <w:gridCol w:w="237"/>
        <w:gridCol w:w="564"/>
        <w:gridCol w:w="132"/>
        <w:gridCol w:w="132"/>
        <w:gridCol w:w="132"/>
        <w:gridCol w:w="132"/>
        <w:gridCol w:w="237"/>
        <w:gridCol w:w="564"/>
        <w:gridCol w:w="132"/>
        <w:gridCol w:w="109"/>
        <w:gridCol w:w="109"/>
        <w:gridCol w:w="109"/>
        <w:gridCol w:w="217"/>
        <w:gridCol w:w="516"/>
        <w:gridCol w:w="120"/>
        <w:gridCol w:w="120"/>
        <w:gridCol w:w="120"/>
        <w:gridCol w:w="120"/>
        <w:gridCol w:w="217"/>
        <w:gridCol w:w="616"/>
        <w:gridCol w:w="170"/>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income on long equity positions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expense on short equity positions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(loss)/income, net reported within Principal Gains, net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Remaining Performance Obligations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are services that the Company has committed to perform in the future in connection with its contracts with clients. The Company’s remaining performance obligations are generally related to its risk management consulting and asset management contracts with clients. Revenues associated with remaining performance obligations related to these contracts with clients are not material to the overall consolidated results of the Company. For the Company’s asset management activities, where fees are calculated based on a percentage of the fair value of eligible assets in client’s accounts, future revenue associated with remaining performance obligations cannot be determined as such fees are subject to fluctuations in the fair value of eligible assets in clients’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14 – Other Expenses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consisted of the following, for the periods indicated.</w:t>
      </w:r>
    </w:p>
    <w:tbl>
      <w:tblPr>
        <w:tblW w:w="7624" w:type="dxa"/>
        <w:jc w:val="left"/>
        <w:tblInd w:w="0" w:type="dxa"/>
        <w:tblLayout w:type="fixed"/>
        <w:tblCellMar>
          <w:top w:w="28" w:type="dxa"/>
          <w:left w:w="28" w:type="dxa"/>
          <w:bottom w:w="28" w:type="dxa"/>
          <w:right w:w="28" w:type="dxa"/>
        </w:tblCellMar>
      </w:tblPr>
      <w:tblGrid>
        <w:gridCol w:w="1022"/>
        <w:gridCol w:w="895"/>
        <w:gridCol w:w="902"/>
        <w:gridCol w:w="237"/>
        <w:gridCol w:w="564"/>
        <w:gridCol w:w="132"/>
        <w:gridCol w:w="132"/>
        <w:gridCol w:w="132"/>
        <w:gridCol w:w="132"/>
        <w:gridCol w:w="237"/>
        <w:gridCol w:w="564"/>
        <w:gridCol w:w="132"/>
        <w:gridCol w:w="109"/>
        <w:gridCol w:w="109"/>
        <w:gridCol w:w="109"/>
        <w:gridCol w:w="227"/>
        <w:gridCol w:w="540"/>
        <w:gridCol w:w="126"/>
        <w:gridCol w:w="126"/>
        <w:gridCol w:w="126"/>
        <w:gridCol w:w="126"/>
        <w:gridCol w:w="227"/>
        <w:gridCol w:w="540"/>
        <w:gridCol w:w="178"/>
      </w:tblGrid>
      <w:tr>
        <w:trPr/>
        <w:tc>
          <w:tcPr>
            <w:tcW w:w="10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Non-income taxes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Insurance</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related expenses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direct business expenses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Membership fees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 and public company expenses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expenses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expenses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15 – Income Taxes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for interim periods comprises income tax on ordinary income/(loss) figures provided at the most recent estimated annual effective income tax rate, adjusted for the income tax effect of discrete items. Management uses an estimated annual effective income tax rate based on the forecasted pretax income/(loss) and statutory tax rates in the various jurisdictions in which it operates. The Company’s effective income tax rate differs from the U.S. statutory income tax rate primarily due to state and local taxes, global intangible low taxed income (“GILTI”), and differing statutory tax rates applied to the income of non-U.S. subsidiaries. The Company records the tax effect of certain discrete items, including the effects of changes in tax laws, tax rates and adjustments with respect to valuation allowances or other unusual or nonrecurring tax adjustments, in the interim period in which they occur, as an addition to, or reduction from, the income tax provision, rather than being included in the estimated effective annual income tax rate. In addition, jurisdictions with a projected loss for the year or a year-to-date loss where no income tax benefit can be recognized are excluded from the estimated annual effective income tax rate.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balances reflect the effects of temporary differences between the carrying amounts of assets and liabilities and their tax bases and are stated at enacted tax rates expected to be in effect when taxes are actually paid or recovered. The Company is required to assess its deferred tax assets and the need for a valuation allowance at each reporting period.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assessment requires judgment on the part of management with respect to benefits that may be realized. The Company will record a valuation allowance against deferred tax assets when it is considered more likely than not that all or a portion of the deferred tax assets will not be realized.</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Current and Prior Period Tax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of $25.0 million and $21.8 million for the three months ended June 30, 2023 and 2022, respectively, and income tax expense of $59.8 million and $56.0 million for the nine months ended June 30, 2023 and 2022, respectively, reflects estimated federal, foreign, state and local income taxes.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was 26% and 31% for the three months ended June 30, 2023 and 2022, respectively. The effective tax rate was higher than the U.S. federal statutory rate of 21% due to U.S. state and local taxes, GILTI, U.S. and foreign permanent differences, and the amount of foreign earnings taxed at higher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16 – Regulatory Capital Requirements     </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activities are subject to significant governmental regulation, both in the U.S. and in the international jurisdictions in which it operates. Subsidiaries of the Company were in compliance with all of their regulatory requirements as of June 30, 2023. The following table details those subsidiaries with minimum regulatory requirements in excess of $10.0 million along with the actual balance maintained as of that date. </w:t>
      </w:r>
    </w:p>
    <w:tbl>
      <w:tblPr>
        <w:tblW w:w="7619" w:type="dxa"/>
        <w:jc w:val="left"/>
        <w:tblInd w:w="0" w:type="dxa"/>
        <w:tblLayout w:type="fixed"/>
        <w:tblCellMar>
          <w:top w:w="28" w:type="dxa"/>
          <w:left w:w="28" w:type="dxa"/>
          <w:bottom w:w="28" w:type="dxa"/>
          <w:right w:w="28" w:type="dxa"/>
        </w:tblCellMar>
      </w:tblPr>
      <w:tblGrid>
        <w:gridCol w:w="702"/>
        <w:gridCol w:w="615"/>
        <w:gridCol w:w="617"/>
        <w:gridCol w:w="1029"/>
        <w:gridCol w:w="1029"/>
        <w:gridCol w:w="1031"/>
        <w:gridCol w:w="109"/>
        <w:gridCol w:w="109"/>
        <w:gridCol w:w="109"/>
        <w:gridCol w:w="196"/>
        <w:gridCol w:w="556"/>
        <w:gridCol w:w="109"/>
        <w:gridCol w:w="109"/>
        <w:gridCol w:w="109"/>
        <w:gridCol w:w="109"/>
        <w:gridCol w:w="233"/>
        <w:gridCol w:w="663"/>
        <w:gridCol w:w="185"/>
      </w:tblGrid>
      <w:tr>
        <w:trPr/>
        <w:tc>
          <w:tcPr>
            <w:tcW w:w="70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Subsidiary</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Regulatory Authority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Requirement</w:t>
            </w:r>
          </w:p>
        </w:tc>
      </w:tr>
      <w:tr>
        <w:trPr/>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StoneX Financial Inc.</w:t>
            </w:r>
          </w:p>
        </w:tc>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 and CFTC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StoneX Financial Ltd.</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Conduct Authority (“FCA”)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Capital Group, LLC</w:t>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CFTC and NFA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StoneX Financial Pte. Ltd.</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Monetary Authority of Singapore ("MAS")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StoneX Markets LLC</w:t>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CFTC and NFA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other subsidiaries of the Company, typically with a minimum requirement less than $10.0 million, are also subject to net capital requirements promulgated by authorities in the countries in which they operate. As of June 30, 2023, all of the Company’s subsidiaries were in compliance with their local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17 - Acquisitions</w:t>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Cotton Distributors Inc.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31, 2022, the Company’s wholly owned subsidiary, StoneX Netherlands B.V., acquired CDI-Societe Cotonniere De Distribution S.A (“CDI”), based in Switzerland. CDI operates a global cotton merchant business with clients and producers in Brazil and West Africa as well as buyers throughout Asia. The purchase price is approximately $42.7 million, which is based on CDI’s estimated acquisition date tangible book value as defined by the terms of the purchase agreement and based on Swiss accounting practices, and an earn-out payment due to the seller. The earn-out value is determined by CDI’s performance with respect to certain contracts entered into before the acquisition date and settling after the closing date. </w:t>
      </w:r>
    </w:p>
    <w:p>
      <w:pPr>
        <w:pStyle w:val="TextBody"/>
        <w:bidi w:val="0"/>
        <w:spacing w:lineRule="auto" w:line="288" w:before="120" w:after="283"/>
        <w:jc w:val="left"/>
        <w:rPr/>
      </w:pPr>
      <w:r>
        <w:rPr>
          <w:rFonts w:ascii="Times New Roman;sans-serif" w:hAnsi="Times New Roman;sans-serif"/>
          <w:b w:val="false"/>
          <w:color w:val="000000"/>
          <w:sz w:val="20"/>
        </w:rPr>
        <w:t xml:space="preserve">During the three months ended June 30, 2023, CDI contributed $11.7 million of </w:t>
      </w:r>
      <w:r>
        <w:rPr>
          <w:rFonts w:ascii="Times New Roman;sans-serif" w:hAnsi="Times New Roman;sans-serif"/>
          <w:b w:val="false"/>
          <w:i/>
          <w:color w:val="000000"/>
          <w:sz w:val="20"/>
        </w:rPr>
        <w:t>Net operating revenue</w:t>
      </w:r>
      <w:r>
        <w:rPr>
          <w:color w:val="000000"/>
        </w:rPr>
        <w:t xml:space="preserve"> </w:t>
      </w:r>
      <w:r>
        <w:rPr>
          <w:rFonts w:ascii="Times New Roman;sans-serif" w:hAnsi="Times New Roman;sans-serif"/>
          <w:b w:val="false"/>
          <w:color w:val="000000"/>
          <w:sz w:val="20"/>
        </w:rPr>
        <w:t xml:space="preserve">and $7.2 million of </w:t>
      </w:r>
      <w:r>
        <w:rPr>
          <w:rFonts w:ascii="Times New Roman;sans-serif" w:hAnsi="Times New Roman;sans-serif"/>
          <w:b w:val="false"/>
          <w:i/>
          <w:color w:val="000000"/>
          <w:sz w:val="20"/>
        </w:rPr>
        <w:t>Net income</w:t>
      </w:r>
      <w:r>
        <w:rPr>
          <w:rFonts w:ascii="Times New Roman;sans-serif" w:hAnsi="Times New Roman;sans-serif"/>
          <w:b w:val="false"/>
          <w:color w:val="000000"/>
          <w:sz w:val="20"/>
        </w:rPr>
        <w:t xml:space="preserve">. During the nine months ended June 30, 2023, CDI contributed $24.0 million of </w:t>
      </w:r>
      <w:r>
        <w:rPr>
          <w:rFonts w:ascii="Times New Roman;sans-serif" w:hAnsi="Times New Roman;sans-serif"/>
          <w:b w:val="false"/>
          <w:i/>
          <w:color w:val="000000"/>
          <w:sz w:val="20"/>
        </w:rPr>
        <w:t>Net operating revenue</w:t>
      </w:r>
      <w:r>
        <w:rPr>
          <w:color w:val="000000"/>
        </w:rPr>
        <w:t xml:space="preserve"> </w:t>
      </w:r>
      <w:r>
        <w:rPr>
          <w:rFonts w:ascii="Times New Roman;sans-serif" w:hAnsi="Times New Roman;sans-serif"/>
          <w:b w:val="false"/>
          <w:color w:val="000000"/>
          <w:sz w:val="20"/>
        </w:rPr>
        <w:t xml:space="preserve">and $12.3 million of </w:t>
      </w:r>
      <w:r>
        <w:rPr>
          <w:rFonts w:ascii="Times New Roman;sans-serif" w:hAnsi="Times New Roman;sans-serif"/>
          <w:b w:val="false"/>
          <w:i/>
          <w:color w:val="000000"/>
          <w:sz w:val="20"/>
        </w:rPr>
        <w:t>Net incom</w:t>
      </w:r>
      <w:r>
        <w:rPr>
          <w:rFonts w:ascii="Times New Roman;sans-serif" w:hAnsi="Times New Roman;sans-serif"/>
          <w:b w:val="false"/>
          <w:color w:val="000000"/>
          <w:sz w:val="20"/>
        </w:rPr>
        <w: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period for the CDI acquisition remains open as the Company finalizes certain valuation calculations related to intangible assets, net tangible asset value adjustments, the fair values of forward contracts and other derivatives, as well as the earn-out due to the seller. The gain on acquisition was principally due to the fair value of commodity forward purchases and sales contracts and fair value of identified intangible assets acquired exceeding the consideration paid for these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tbl>
      <w:tblPr>
        <w:tblW w:w="7513" w:type="dxa"/>
        <w:jc w:val="left"/>
        <w:tblInd w:w="0" w:type="dxa"/>
        <w:tblLayout w:type="fixed"/>
        <w:tblCellMar>
          <w:top w:w="28" w:type="dxa"/>
          <w:left w:w="28" w:type="dxa"/>
          <w:bottom w:w="28" w:type="dxa"/>
          <w:right w:w="28" w:type="dxa"/>
        </w:tblCellMar>
      </w:tblPr>
      <w:tblGrid>
        <w:gridCol w:w="2387"/>
        <w:gridCol w:w="2095"/>
        <w:gridCol w:w="2102"/>
        <w:gridCol w:w="223"/>
        <w:gridCol w:w="531"/>
        <w:gridCol w:w="175"/>
      </w:tblGrid>
      <w:tr>
        <w:trPr/>
        <w:tc>
          <w:tcPr>
            <w:tcW w:w="2387"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and receivables from broker-dealers, clearing organizations, and counterparties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from clients, net</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owned, at fair value</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income taxes, net </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and equipment, net </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Physical commodities inventory, net</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fair value of tangible assets acquired</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139.5</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accrued liabilities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Financial instruments sold, not yet purchased, at fair value</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lenders under loans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broker-dealers, clearing organizations, and counterparties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 to clients</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taxes payable </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fair value of tangible liabilities assumed</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tangible net assets acquired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Identifiable intangible assets acquired </w:t>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Client relationships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Supplier relationships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name</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Non-compete</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fair value of intangible assets acquired</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Fair value of identifiable net assets acquired </w:t>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merger consideration </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w:t>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acquisition</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Incomm S.A.S.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2023, the Company’s subsidiary StoneX Commodity Solutions LLC executed a sale and purchase agreement to acquire all of the outstanding shares of Incomm S.A.S. (“Incomm”), a company duly incorporated and in existence according with the laws of Colombia. This transaction was effective on the closing date of February 3, 2023. Incomm was established to support the import of grain and feed products for Colombian clients, and is a proven resource in management of customs clearing, inventory management at destination ports and providing non-recourse trade finance for destination buyers via local Colombian banks.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price consists of $0.2 million of cash consideration and also includes a contingent earn-out valued at approximately $1.3 million with annual payments over the four years following the acquisition. The contingent earn-out payments are variable in nature, as they equal a percentage of the acquired business line’s pre-tax profits, as defined in the purchase agreement. The business activities of Incomm will be assigned to the Company’s Commercial reportable segment. The acquisition generated $1.3 million of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18 – Segment Analysis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operating segments are principally based on the nature of the clients we serve (commercial, institutional, and retail), and a fourth operating segment, its global payments business. The Company manages its business in this manner due to its large global footprint, in which it has approximately 4,000 employees allowing it to serve clients in more than 180 countries.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activities are managed as operating segments and organized into reportable segments as follows: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i/>
          <w:color w:val="000000"/>
          <w:sz w:val="20"/>
        </w:rPr>
        <w:t>Commercial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Institutional</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Retail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 xml:space="preserve">Global Payments </w:t>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Commercial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commercial clients a comprehensive array of products and services, including risk management and hedging services, execution and clearing of exchange-traded and OTC products, voice brokerage, market intelligence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physical trading, as well as commodity financing and logistics services. The ability to provide these high-value-added products and services differentiates the Company from its competitors and maximizes the opportunity to retain clients.</w:t>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Institutional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the Company originates, structures and places debt instruments in the international and domestic capital markets. These instruments include asset-backed securities (primarily in Argentina) and domestic municipal securities. </w:t>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Retail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retail clients around the world access to over 18,000 global financial markets, including spot foreign exchange ("forex"), both financial trading and physical investment in precious metals, as well as contracts for difference (“CFDs”), which are investment products with returns linked to the performance of underlying assets. In addition, its independent wealth management business offers a comprehensive product suite to retail investors in the U.S.</w:t>
      </w:r>
    </w:p>
    <w:p>
      <w:pPr>
        <w:pStyle w:val="TextBody"/>
        <w:bidi w:val="0"/>
        <w:spacing w:lineRule="auto" w:line="288" w:before="120" w:after="60"/>
        <w:jc w:val="left"/>
        <w:rPr>
          <w:rFonts w:ascii="Times New Roman;sans-serif" w:hAnsi="Times New Roman;sans-serif"/>
          <w:b/>
          <w:i/>
          <w:color w:val="000000"/>
          <w:sz w:val="20"/>
        </w:rPr>
      </w:pPr>
      <w:r>
        <w:rPr>
          <w:rFonts w:ascii="Times New Roman;sans-serif" w:hAnsi="Times New Roman;sans-serif"/>
          <w:b/>
          <w:i/>
          <w:color w:val="000000"/>
          <w:sz w:val="20"/>
        </w:rPr>
        <w:t>Global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customized foreign exchange and treasury services to banks and commercial businesses, as well as charities and non-governmental organizations and government organizations. The Company provides transparent pricing and offers payments services in more than 185 countries and 140 currencies, which it believes is more than any other payments solution provider.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revenues reported combine gross revenues from physical contracts for subsidiaries that are not broker-dealers and net revenues for all other businesses. In order to reflect the way that the Company’s management views the results, the table below also reflects the segment contribution to ‘operating revenues’, which is shown on the face of the consolidated income statements and which is calculated by deducting physical commodities cost of sales from total revenues.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Segment data includes the profitability measure of net contribution by segment. Net contribution is one of the key measures used by management to assess the performance of each segment and for decisions regarding the allocation of the Company’s resources. Net contribution is calculated as revenue less direct cost of sales, transaction-based clearing expenses, variable compensation, introducing broker commissions, and interest expense. Variable compensation paid to risk management consultants/traders generally represents a fixed percentage of revenues generated, and in some cases, revenues generated less transaction-based clearing expenses, base salaries and an overhead allocation.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Segment data also includes segment income which is calculated as net contribution less non-variable direct expenses of the segment. These non-variable direct expenses include trader base compensation and benefits, operational employee compensation and benefits, communication and data services, business development, professional fees, bad debt expense and other direct expenses.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expenses, receivables and payables are eliminated upon consolidation.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operating revenues and net operating revenues shown as “Corporate Unallocated” primarily consist of interest income from its centralized corporate treasury function. In the normal course of operations, the Company operates a centralized corporate treasury function in which it may sweep excess cash from certain subsidiaries, where permitted within regulatory limitations, in exchange for a short-term interest bearing intercompany payable, or provide excess cash to subsidiaries in exchange for a short-term interest bearing intercompany receivable in lieu of the subsidiary borrowing on external credit facilities. The intercompany receivables and payables are eliminated during consolidation; however, this practice may impact reported total assets between segments.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costs not allocated to operating segments include costs and expenses of certain shared services such as information technology, accounting and treasury, credit and risk, legal and compliance, and human resources and other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for the reportable segments is shown in accordance with the Segment Reporting Topic of the ASC as follows:</w:t>
      </w:r>
    </w:p>
    <w:tbl>
      <w:tblPr>
        <w:tblW w:w="10205" w:type="dxa"/>
        <w:jc w:val="left"/>
        <w:tblInd w:w="0" w:type="dxa"/>
        <w:tblLayout w:type="fixed"/>
        <w:tblCellMar>
          <w:top w:w="28" w:type="dxa"/>
          <w:left w:w="28" w:type="dxa"/>
          <w:bottom w:w="28" w:type="dxa"/>
          <w:right w:w="28" w:type="dxa"/>
        </w:tblCellMar>
      </w:tblPr>
      <w:tblGrid>
        <w:gridCol w:w="1170"/>
        <w:gridCol w:w="982"/>
        <w:gridCol w:w="930"/>
        <w:gridCol w:w="333"/>
        <w:gridCol w:w="1328"/>
        <w:gridCol w:w="185"/>
        <w:gridCol w:w="185"/>
        <w:gridCol w:w="185"/>
        <w:gridCol w:w="185"/>
        <w:gridCol w:w="333"/>
        <w:gridCol w:w="1328"/>
        <w:gridCol w:w="185"/>
        <w:gridCol w:w="109"/>
        <w:gridCol w:w="109"/>
        <w:gridCol w:w="109"/>
        <w:gridCol w:w="196"/>
        <w:gridCol w:w="781"/>
        <w:gridCol w:w="109"/>
        <w:gridCol w:w="109"/>
        <w:gridCol w:w="109"/>
        <w:gridCol w:w="109"/>
        <w:gridCol w:w="196"/>
        <w:gridCol w:w="781"/>
        <w:gridCol w:w="159"/>
      </w:tblGrid>
      <w:tr>
        <w:trPr/>
        <w:tc>
          <w:tcPr>
            <w:tcW w:w="117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47,984.8 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Retail</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Unallocated</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Eliminations</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15,047.9 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18,930.9 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49,655.0 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Retail</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Unallocated</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Eliminations</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revenues (loss):</w:t>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Retail</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Unallocated</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contribution:</w:t>
            </w:r>
          </w:p>
        </w:tc>
        <w:tc>
          <w:tcPr>
            <w:tcW w:w="1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less cost of sales of physical commodities, transaction-based clearing expenses, variable compensation, introducing broker commissions and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Retail</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income:</w:t>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contribution less non-variable direct segment costs)</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Retail</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segment income to income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income</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costs not allocated to operating segments</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acquisition</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tax</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Retail</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w:t>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Unallocated</w:t>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21,933.1 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19,859.6 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a8b3518e3c94a59bc121a11843a112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100"/>
        <w:jc w:val="left"/>
        <w:rPr>
          <w:rFonts w:ascii="Times New Roman;sans-serif" w:hAnsi="Times New Roman;sans-serif"/>
          <w:b w:val="false"/>
          <w:i/>
          <w:color w:val="000000"/>
          <w:sz w:val="20"/>
        </w:rPr>
      </w:pPr>
      <w:r>
        <w:rPr>
          <w:rFonts w:ascii="Times New Roman;sans-serif" w:hAnsi="Times New Roman;sans-serif"/>
          <w:b w:val="false"/>
          <w:i/>
          <w:color w:val="000000"/>
          <w:sz w:val="20"/>
        </w:rPr>
        <w:t>Throughout this document, unless the context otherwise requires, the terms “Company”, “we”, “us” and “our” refer to StoneX Group Inc. and its consolidated subsidiaries.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should be read in conjunction with the condensed consolidated financial statements and notes thereto appearing elsewhere in this report. This Quarterly Report on Form 10-Q contains “forward-looking statements” within the meaning of Section 27A of the Securities Act of 1933 and Section 21E of the Securities Exchange Act of 1934. These forward-looking statements involve known and unknown risks and uncertainties, many of which are beyond the control of the Company, including adverse changes in economic, political and market conditions, losses from our market-making and trading activities arising from counterparty failures and changes in market conditions, the loss of key personnel, the impact of increasing competition, the impact of changes in government regulation, the possibility of liabilities arising from violations of foreign, United States (“U.S.”) federal and U.S. state securities laws, the impact of changes in technology in the securities and commodities trading industries and the potential impact of the coronavirus (“COVID-19”) pandemic on our business, operations, results of operations, financial condition, workforce or the operations or decisions of our clients, suppliers or business customers.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We undertake no obligation to publicly update or revise any forward-looking statements, whether as a result of new information, future events or otherwise, except as required by law. We caution readers that any forward-looking statements are not guarantees of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283"/>
        <w:jc w:val="left"/>
        <w:rPr/>
      </w:pPr>
      <w:r>
        <w:rPr>
          <w:rFonts w:ascii="Times New Roman;sans-serif" w:hAnsi="Times New Roman;sans-serif"/>
          <w:b w:val="false"/>
          <w:color w:val="000000"/>
          <w:sz w:val="20"/>
        </w:rPr>
        <w:t xml:space="preserve">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 and services to allow them to pursue trading opportunities, manage their market risks, make investments and improve their business performance. Our businesses are supported by our global infrastructure of regulated operating subsidiaries, our advanced technology platform and our team of approximately 4,000 employees as of June 30, 2023. We believe our client-first approach differentiates us from large banking institutions, engenders trust and has enabled us to establish leadership positions in a number of complex fields in financial markets around the world. For additional information, see </w:t>
      </w:r>
      <w:r>
        <w:rPr>
          <w:rFonts w:ascii="Times New Roman;sans-serif" w:hAnsi="Times New Roman;sans-serif"/>
          <w:b w:val="false"/>
          <w:i/>
          <w:color w:val="000000"/>
          <w:sz w:val="20"/>
        </w:rPr>
        <w:t>Overview of Business and Strategy</w:t>
      </w:r>
      <w:r>
        <w:rPr>
          <w:color w:val="000000"/>
        </w:rPr>
        <w:t xml:space="preserve"> </w:t>
      </w:r>
      <w:r>
        <w:rPr>
          <w:rFonts w:ascii="Times New Roman;sans-serif" w:hAnsi="Times New Roman;sans-serif"/>
          <w:b w:val="false"/>
          <w:color w:val="000000"/>
          <w:sz w:val="20"/>
        </w:rPr>
        <w:t>within Item 1. Business section of our Annual Report on Form 10-K for the fiscal year ended September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report our operating segments based primarily on the nature of the clients we serve (commercial, institutional, and retail), and a fourth operating segment, our global payments business. See Segment Information for a listing of business activities performed within our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Executive Summary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fiscal 2023, we benefited from the effect of heightened commodity volatility and the resulting increase in client activity, which drove strong growth in over-the-counter (“OTC”) and physical contract operating revenues. In addition, we experienced strong growth in interest and fee income earned on client balances compared to the prior year period, as a result of the impact of the significant increase in short-term interest rates.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increased $248.1 million, or 47%, to $776.9 million in the three months ended June 30, 2023 compared to $528.8 million in the three months ended June 30, 2022, led by our Institutional segment, which added $172.0 million compared to the three months ended June 30, 2022. In addition, our Commercial and Global Payments segments added $82.5 million and $8.9 million, respectively, compared to the three months ended June 30, 2022. Operating revenues in our Retail segment declined $17.0 million compared to the three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revenues increased $61.8 million to $435.9 million in the three months ended June 30, 2023 compared to $374.1 million in the three months ended June 30, 2022. Our Commercial and Global Payment segments added $71.7 million and $9.6 million, respectively, compared to the three months ended June 30, 2022. Net operating revenues in our Retail and Institutional segments declined $12.8 million and $6.1 million, respectively, compared to the three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 income on client balances increased $70.7 million, or 329%, to $92.2 million in the three months ended June 30, 2023 compared to the three months ended June 30, 2022, principally driven by the significant increase in short-term interest rates. Average client equity increased $0.3 billion, or 5%, to $6.5 billion, while average money-market/FDIC sweep balances declined 32% to $1.3 billion in the three months ended June 30, 2023 compared to the three months ended June 30, 2022. The interest expense attributable to client balances on deposit increased $31.6 million, to $34.0 million in the three months ended June 30, 2023 compared to $2.4 million in the three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Overall segment income increased $36.8 million, or 22%, to $207.9 million in the three months ended June 30, 2023 compared to $171.1 million in the three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in our Commercial segment increased $44.5 million compared to the three months ended June 30, 2022, principally as a result of strong growth in interest/fees earned on client balances, as well as in operating revenues derived from OTC derivative and physical contracts in the three months ended June 30, 2023 compared to the three months ended June 30, 2022. This growth was partially offset by a $10.5 million increase in non-variable direct expenses compared to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in our Institutional segment decreased $2.6 million in the three months ended June 30, 2023 compared to the three months ended June 30, 2022. This decline primarily resulted from a $6.1 million decrease in net operating revenues, as well as a $9.6 million increase in non-variable direct expenses. These negative variances were partially offset by a $13.1 million decline in variable compensation.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in our Retail segment declined $9.1 million, in the three months ended June 30, 2023 compared to the three months ended June 30, 2022. This decline principally resulted from a 21% decline in operating revenues derived from FX/Contracts for Difference (“CFD”) contracts, which was driven by a 25% decline in FX/CFD contract volumes compared to the three months ended June 30, 2022. The decline in operating revenues was partially offset by a $2.3 million decline in non-variable direct expenses as well as a $1.4 million decline in variable compensation compared to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in our Global Payments segment increased $4.0 million in the three months ended June 30, 2023 compared to the three months ended June 30, 2022. This increase was primarily driven by a 20% increase in operating revenues as a result of a 21% increase in Global Payments RPM compared to the three months ended June 30, 2022. This increase was partially offset by a $4.3 million increase in non-variable direct expenses compared to the three months ended June 30, 2022. </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corporate funding purposes increased $4.2 million to $14.9 million in the three months ended June 30, 2023 compared to $10.7 million in the three months ended June 30, 2022, principally due to higher short-term interest rates and an increase in average borrowings.</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 the expense side, we continue to focus on maintaining our variable cost model and limiting the growth of our non-variable expenses. To that end, variable expenses were 54% of total expenses in the three months ended June 30, 2023 compared to 57% in the three months ended June 30, 2022. Non-variable expenses, excluding bad debts, increased $24.6 million, period-over-period, principally due to higher fixed compensation and benefits, as well as increases in trading systems and market information, depreciation and amortization and travel and business development. Bad debts, net of recoveries increased $7.0 million compared to the three months ended June 30, 2022.</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income increased $20.4 million to $69.5 million in the three months ended June 30, 2023 compared to $49.1 million in the three months ended June 30, 2022. Diluted earnings per share were $3.25 for the three months ended June 30, 2023 compared to $2.37 in the three months ended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Selected Summary Financial Information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bidi w:val="0"/>
        <w:spacing w:lineRule="auto" w:line="268" w:before="0" w:after="0"/>
        <w:jc w:val="left"/>
        <w:rPr/>
      </w:pPr>
      <w:r>
        <w:rPr>
          <w:rFonts w:ascii="Times New Roman;sans-serif" w:hAnsi="Times New Roman;sans-serif"/>
          <w:b w:val="false"/>
          <w:color w:val="000000"/>
          <w:sz w:val="20"/>
        </w:rPr>
        <w:t>Our total revenues, as reported, combine gross revenues for the physical commodities business and net revenues for all other businesses. Management believes that operating revenues, which deduct the cost of sales of physical commodities from total revenues, is a more useful financial measure with which to assess our results of operations.</w:t>
      </w:r>
      <w:r>
        <w:rPr>
          <w:color w:val="000000"/>
        </w:rPr>
        <w:t xml:space="preserve"> </w:t>
      </w:r>
      <w:r>
        <w:rPr>
          <w:rFonts w:ascii="Times New Roman;sans-serif" w:hAnsi="Times New Roman;sans-serif"/>
          <w:b w:val="false"/>
          <w:color w:val="000000"/>
          <w:sz w:val="20"/>
        </w:rPr>
        <w:t xml:space="preserve">The table below sets forth our operating revenues, as well as other key financial measures, for the periods indicated. </w:t>
      </w:r>
    </w:p>
    <w:p>
      <w:pPr>
        <w:pStyle w:val="TextBody"/>
        <w:bidi w:val="0"/>
        <w:spacing w:before="0" w:after="0"/>
        <w:jc w:val="left"/>
        <w:rPr/>
      </w:pPr>
      <w:r>
        <w:rPr/>
      </w:r>
    </w:p>
    <w:p>
      <w:pPr>
        <w:pStyle w:val="TextBody"/>
        <w:bidi w:val="0"/>
        <w:spacing w:lineRule="auto" w:line="288" w:before="60" w:after="283"/>
        <w:jc w:val="center"/>
        <w:rPr/>
      </w:pPr>
      <w:r>
        <w:rPr>
          <w:rFonts w:ascii="Times New Roman;sans-serif" w:hAnsi="Times New Roman;sans-serif"/>
          <w:b/>
          <w:color w:val="000000"/>
          <w:sz w:val="20"/>
        </w:rPr>
        <w:t>Financial Information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105"/>
        <w:gridCol w:w="642"/>
        <w:gridCol w:w="645"/>
        <w:gridCol w:w="196"/>
        <w:gridCol w:w="781"/>
        <w:gridCol w:w="109"/>
        <w:gridCol w:w="109"/>
        <w:gridCol w:w="109"/>
        <w:gridCol w:w="109"/>
        <w:gridCol w:w="196"/>
        <w:gridCol w:w="781"/>
        <w:gridCol w:w="109"/>
        <w:gridCol w:w="109"/>
        <w:gridCol w:w="109"/>
        <w:gridCol w:w="109"/>
        <w:gridCol w:w="290"/>
        <w:gridCol w:w="290"/>
        <w:gridCol w:w="291"/>
        <w:gridCol w:w="109"/>
        <w:gridCol w:w="109"/>
        <w:gridCol w:w="109"/>
        <w:gridCol w:w="200"/>
        <w:gridCol w:w="797"/>
        <w:gridCol w:w="111"/>
        <w:gridCol w:w="109"/>
        <w:gridCol w:w="109"/>
        <w:gridCol w:w="109"/>
        <w:gridCol w:w="200"/>
        <w:gridCol w:w="797"/>
        <w:gridCol w:w="111"/>
        <w:gridCol w:w="109"/>
        <w:gridCol w:w="109"/>
        <w:gridCol w:w="109"/>
        <w:gridCol w:w="268"/>
        <w:gridCol w:w="268"/>
        <w:gridCol w:w="383"/>
      </w:tblGrid>
      <w:tr>
        <w:trPr/>
        <w:tc>
          <w:tcPr>
            <w:tcW w:w="110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511%</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44,220.5 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49,655.0 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48,131.0 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848%</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on corporate funding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compensation and other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acquisition and other gain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267%</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tax</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Sheet information:</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to lenders under loans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r>
      <w:tr>
        <w:trPr/>
        <w:tc>
          <w:tcPr>
            <w:tcW w:w="2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secured borrowings,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display operating revenues disaggregated across the key products we provide to our clients and select operating data and metrics used by management in evaluating our performance, for the periods indicated.</w:t>
      </w:r>
    </w:p>
    <w:tbl>
      <w:tblPr>
        <w:tblW w:w="10205" w:type="dxa"/>
        <w:jc w:val="left"/>
        <w:tblInd w:w="0" w:type="dxa"/>
        <w:tblLayout w:type="fixed"/>
        <w:tblCellMar>
          <w:top w:w="28" w:type="dxa"/>
          <w:left w:w="28" w:type="dxa"/>
          <w:bottom w:w="28" w:type="dxa"/>
          <w:right w:w="28" w:type="dxa"/>
        </w:tblCellMar>
      </w:tblPr>
      <w:tblGrid>
        <w:gridCol w:w="1181"/>
        <w:gridCol w:w="852"/>
        <w:gridCol w:w="855"/>
        <w:gridCol w:w="196"/>
        <w:gridCol w:w="646"/>
        <w:gridCol w:w="109"/>
        <w:gridCol w:w="109"/>
        <w:gridCol w:w="109"/>
        <w:gridCol w:w="109"/>
        <w:gridCol w:w="196"/>
        <w:gridCol w:w="646"/>
        <w:gridCol w:w="109"/>
        <w:gridCol w:w="109"/>
        <w:gridCol w:w="109"/>
        <w:gridCol w:w="109"/>
        <w:gridCol w:w="290"/>
        <w:gridCol w:w="290"/>
        <w:gridCol w:w="291"/>
        <w:gridCol w:w="109"/>
        <w:gridCol w:w="109"/>
        <w:gridCol w:w="109"/>
        <w:gridCol w:w="196"/>
        <w:gridCol w:w="691"/>
        <w:gridCol w:w="109"/>
        <w:gridCol w:w="109"/>
        <w:gridCol w:w="109"/>
        <w:gridCol w:w="109"/>
        <w:gridCol w:w="196"/>
        <w:gridCol w:w="691"/>
        <w:gridCol w:w="109"/>
        <w:gridCol w:w="109"/>
        <w:gridCol w:w="109"/>
        <w:gridCol w:w="109"/>
        <w:gridCol w:w="268"/>
        <w:gridCol w:w="268"/>
        <w:gridCol w:w="381"/>
      </w:tblGrid>
      <w:tr>
        <w:trPr/>
        <w:tc>
          <w:tcPr>
            <w:tcW w:w="118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All $ amounts are U.S. dollar or U.S. dollar equivalents</w:t>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Revenues (in millions):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Over-the-counter (“OTC”) derivatives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 Contracts For Difference (“CFD”) contracts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Physical contracts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 fees earned on client balances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601%</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Unallocated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246%</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Eliminations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Volumes and Other Select Data (all $ amounts are U.S. dollar or U.S. dollar equivalents): </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Listed derivatives (contracts, 000’s)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Listed derivatives, average rate per contract </w:t>
            </w:r>
            <w:r>
              <w:rPr>
                <w:rFonts w:ascii="Times New Roman;sans-serif" w:hAnsi="Times New Roman;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client equity - listed derivatives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derivatives (contracts, 000’s)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derivatives, average rate per contract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average daily volume (“ADV”)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Securities rate per million (“RPM”) </w:t>
            </w:r>
            <w:r>
              <w:rPr>
                <w:rFonts w:ascii="Times New Roman;sans-serif" w:hAnsi="Times New Roman;sans-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money market / FDIC sweep client balances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 CFD contracts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FX / CFD contracts RPM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Give-up fees, as well as cash and voice brokerage revenues are excluded from the calculation of listed derivatives, average rate per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expense associated with our fixed income activities is deducted from operating revenues in the calculation of Securities RPM, while interest income related to securities lending is excluded.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June 30, 2023 Compared to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increased $248.1 million, or 47%, to $776.9 million in the three months ended June 30, 2023 compared to $528.8 million in the three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derived from listed derivatives increased $1.5 million, or 1%, to $107.6 million in the three months ended June 30, 2023 compared to $106.1 million in the three months ended June 30, 2022. This increase was principally due to an 9% increase in the average rate per contract, partially offset by a 5% decline in listed derivative contract volumes compared to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derived from OTC derivatives increased $21.7 million, or 43%, to $71.9 million in the three months ended June 30, 2023 compared to $50.2 million in the three months ended June 30, 2022. This was the result of a 46% increase in OTC derivative contract volumes, partially offset by a 2% decline in the average rate per contract compared to the three months ended June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derived from securities transactions increased $117.8 million, or 76%, to $272.4 million in the three months ended June 30, 2023 compared to $154.6 million in the three months ended June 30, 2022. This increase was principally due to a 33% increase in ADV, as well as a significant increase in interest rates. Carried interest on fixed income securities is a component of operating revenues, however interest expense associated with financing these positions is not. As a result of the significant increase in short-term rates, we amended our calculation of the securities RPM, in the table above, to present the RPM after deducting from operating revenues the interest expense associated with our fixed income activities. Net operating revenues derived from securities transactions decreased $26.4 million, or 27%, to $70.1 million in the three months ended June 30, 2023 compared to $96.5 million in the three months ended June 30, 2022. This decline was principally due to a 43% decline in the RPM resulting from the tightening of spreads and a change in product mix.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FX/CFD contracts declined $14.7 million, or 17%, to $72.1 million in the three months ended June 30, 2023 compared to $86.8 million in the three months ended June 30, 2022, principally due to a 20% decline in the FX/CFD contracts ADV, partially offset by a 5% increase in the FX/CFD RPM.</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from global payments increased $9.9 million, or 23%, to $52.7 million in the three months ended June 30, 2023 compared to $42.8 million in the three months ended June 30, 2022, principally driven by a 21% increase in the RPM, partially offset by a 2% decrease in the ADV.</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physical contracts increased $30.2 million, or 59%, to $81.0 million in the three months ended June 30, 2023 compared to $50.8 million in the three months ended June 30, 2022. This increase was principally due to strong growth in our physical agricultural and energy business as a result of increased activity in biodiesel feedstock markets as well the acquisition of CDI, effective October 31,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fee income earned on client balances, which is associated with our listed and OTC derivatives, correspondent clearing, and independent wealth management product offerings, increased $70.7 million, or 329%, to $92.2 million in the three months ended June 30, 2023 compared to $21.5 million in the three months ended June 30, 2022. This was principally driven by a significant increase in short-term interest rates.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Nine Months Ended June 30, 2023 Compared to Nine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increased $612.1 million, or 40%, to $2,136.1 million in the nine months ended June 30, 2023 compared to $1,524.0 million in the nine months ended June 30, 2022. The table above displays operating revenues disaggregated across the key products we provide to our clients.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from listed derivatives declined $11.8 million, or 4%, to $317.9 million in the nine months ended June 30, 2023 compared to $329.7 million in the nine months ended June 30, 2022, principally resulting from a 5% decline in the average rate per contract, partially offset by a 1% increase in listed derivative contract volumes.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in OTC derivatives increased $13.0 million, or 8%, to $172.3 million in the nine months ended June 30, 2023 compared to $159.3 million in the nine months ended June 30, 2022. This growth was principally driven by an 18% increase OTC contract volumes, partially offset by an 8% decline in the average rate per contract.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 from securities transactions increased $327.1 million, or 76%, to $755.7 million in the nine months ended June 30, 2023 compared to $428.6 million in the nine months ended June 30, 2022. This increase was principally due to a 50% increase in securities ADV, as well as a significant increase in interest rates. Carried interest on fixed income securities is a component of operating revenues, however interest expense associated with financing these positions is not. As a result of the significant increase in short-term interest rates, we have amended our calculation of securities RPM, in the table above, to present the RPM after deducting from operating revenues the interest expense associated with our fixed income activities. Net operating revenues derived from securities transactions decreased $25.4 million, or 9%, to $247.7 million in the nine months ended June 30, 2023 compared to $273.1 million in the three months ended June 30, 2022. This decline principally resulted from the 39% decline in RPM principally due to a tightening of spreads and a change in product mix.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from FX/CFD contracts declined $75.2 million, or 29%, to $182.7 million in the nine months ended June 30, 2023 compared to $257.9 million in the nine months ended June 30, 2022, principally as a result of a 19% decline in FX/CFD contracts RPM, as well as a 10% decline in FX/CFD contracts ADV.</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from global payments increased by $31.2 million, or 25%, to $155.4 million in the nine months ended June 30, 2023 compared to $124.2 million in the nine months ended June 30, 2022, principally as a result of an 11% increase in ADV, as well as a 10% increase in payments RPM.</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from physical contracts increased $62.4 million, or 47%, to $194.8 million in the nine months ended June 30, 2023 compared to $132.4 million in the nine months ended June 30, 2022, principally due to increased client activity in agricultural and energy commodities, including the acquisition of CDI, effective October 31, 2022, as well as continued client demand for precious metals.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 income earned on client balances, which is associated with our listed and OTC derivative businesses, as well as our correspondent clearing and independent wealth management businesses, increased $241.6 million, or 601%, to $281.8 million in the nine months ended June 30, 2023 compared to $40.2 million in the nine months ended June 30, 2022, principally as a result of the impact of the significant increase in short-term interest rates, as well as a 36% increase in average client equity, which was partially offset by a 19% decline in average money market/FDIC sweep client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Interest and Transactional Expenses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2023 Compared to Three Months Ended June 30, 2022</w:t>
      </w:r>
    </w:p>
    <w:p>
      <w:pPr>
        <w:pStyle w:val="TextBody"/>
        <w:bidi w:val="0"/>
        <w:spacing w:lineRule="auto" w:line="288" w:before="120" w:after="283"/>
        <w:jc w:val="left"/>
        <w:rPr/>
      </w:pPr>
      <w:r>
        <w:rPr>
          <w:rFonts w:ascii="Times New Roman;sans-serif" w:hAnsi="Times New Roman;sans-serif"/>
          <w:b w:val="false"/>
          <w:color w:val="000000"/>
          <w:sz w:val="20"/>
          <w:u w:val="single"/>
        </w:rPr>
        <w:t>Transaction-based clearing expenses</w:t>
      </w:r>
      <w:r>
        <w:rPr>
          <w:color w:val="000000"/>
        </w:rPr>
        <w:t xml:space="preserve"> </w:t>
      </w:r>
    </w:p>
    <w:tbl>
      <w:tblPr>
        <w:tblW w:w="6879" w:type="dxa"/>
        <w:jc w:val="left"/>
        <w:tblInd w:w="0" w:type="dxa"/>
        <w:tblLayout w:type="fixed"/>
        <w:tblCellMar>
          <w:top w:w="28" w:type="dxa"/>
          <w:left w:w="28" w:type="dxa"/>
          <w:bottom w:w="28" w:type="dxa"/>
          <w:right w:w="28" w:type="dxa"/>
        </w:tblCellMar>
      </w:tblPr>
      <w:tblGrid>
        <w:gridCol w:w="956"/>
        <w:gridCol w:w="841"/>
        <w:gridCol w:w="843"/>
        <w:gridCol w:w="196"/>
        <w:gridCol w:w="466"/>
        <w:gridCol w:w="109"/>
        <w:gridCol w:w="109"/>
        <w:gridCol w:w="109"/>
        <w:gridCol w:w="109"/>
        <w:gridCol w:w="196"/>
        <w:gridCol w:w="466"/>
        <w:gridCol w:w="109"/>
        <w:gridCol w:w="109"/>
        <w:gridCol w:w="109"/>
        <w:gridCol w:w="109"/>
        <w:gridCol w:w="224"/>
        <w:gridCol w:w="451"/>
        <w:gridCol w:w="125"/>
        <w:gridCol w:w="109"/>
        <w:gridCol w:w="109"/>
        <w:gridCol w:w="109"/>
        <w:gridCol w:w="268"/>
        <w:gridCol w:w="268"/>
        <w:gridCol w:w="380"/>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Percentage of operating revenues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transaction-based clearing expense was principally due to lower fees in the Equity Capital Markets business, which related to lower ADR conversion and short-rebate fees, lower fees in the Retail Forex business, which related to decreased FX/CFD ADV, lower fees in the Exchange-Traded Futures &amp; Options business, principally related to a decrease in contracts traded, and lower fees in the Global Payments business. These decreases were partially offset by higher fees in the Debt Capital Markets business due to an increase in the ADV, and higher fees across all the businesses within our Commercial segment, principally due to higher contract volumes. The decline in the percentage of operating revenues was principally due to the significant increase in interest income, which has no corresponding transaction-based clearing expense element.</w:t>
      </w:r>
    </w:p>
    <w:p>
      <w:pPr>
        <w:pStyle w:val="TextBody"/>
        <w:bidi w:val="0"/>
        <w:spacing w:lineRule="auto" w:line="288" w:before="180" w:after="1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Introducing broker commissions</w:t>
      </w:r>
    </w:p>
    <w:tbl>
      <w:tblPr>
        <w:tblW w:w="6679" w:type="dxa"/>
        <w:jc w:val="left"/>
        <w:tblInd w:w="0" w:type="dxa"/>
        <w:tblLayout w:type="fixed"/>
        <w:tblCellMar>
          <w:top w:w="28" w:type="dxa"/>
          <w:left w:w="28" w:type="dxa"/>
          <w:bottom w:w="28" w:type="dxa"/>
          <w:right w:w="28" w:type="dxa"/>
        </w:tblCellMar>
      </w:tblPr>
      <w:tblGrid>
        <w:gridCol w:w="885"/>
        <w:gridCol w:w="777"/>
        <w:gridCol w:w="782"/>
        <w:gridCol w:w="196"/>
        <w:gridCol w:w="466"/>
        <w:gridCol w:w="109"/>
        <w:gridCol w:w="109"/>
        <w:gridCol w:w="109"/>
        <w:gridCol w:w="109"/>
        <w:gridCol w:w="196"/>
        <w:gridCol w:w="466"/>
        <w:gridCol w:w="109"/>
        <w:gridCol w:w="109"/>
        <w:gridCol w:w="109"/>
        <w:gridCol w:w="109"/>
        <w:gridCol w:w="229"/>
        <w:gridCol w:w="439"/>
        <w:gridCol w:w="128"/>
        <w:gridCol w:w="109"/>
        <w:gridCol w:w="109"/>
        <w:gridCol w:w="109"/>
        <w:gridCol w:w="268"/>
        <w:gridCol w:w="268"/>
        <w:gridCol w:w="380"/>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Percentage of operating revenues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introducing broker commission expense was principally due to higher expense in our Financial Ag and Energy business, due to product mix traded, and higher costs in our Asset Management business, as well as incremental expense from the CDI acquisition, effective October 31, 2022. These increases were partially offset by lower revenues within our Retail Forex and Independent Wealth Management businesses, resulting in lower costs, and lower expense in our Exchange-Traded Futures &amp; Options business, principally related to a decrease in contracts traded. The decline in the percentage of operating revenues was principally due to the significant increase in interest income.</w:t>
      </w:r>
    </w:p>
    <w:p>
      <w:pPr>
        <w:pStyle w:val="TextBody"/>
        <w:bidi w:val="0"/>
        <w:spacing w:lineRule="auto" w:line="288" w:before="180" w:after="12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w:t>
      </w:r>
    </w:p>
    <w:tbl>
      <w:tblPr>
        <w:tblW w:w="10205" w:type="dxa"/>
        <w:jc w:val="left"/>
        <w:tblInd w:w="0" w:type="dxa"/>
        <w:tblLayout w:type="fixed"/>
        <w:tblCellMar>
          <w:top w:w="28" w:type="dxa"/>
          <w:left w:w="28" w:type="dxa"/>
          <w:bottom w:w="28" w:type="dxa"/>
          <w:right w:w="28" w:type="dxa"/>
        </w:tblCellMar>
      </w:tblPr>
      <w:tblGrid>
        <w:gridCol w:w="2051"/>
        <w:gridCol w:w="1798"/>
        <w:gridCol w:w="1805"/>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278"/>
        <w:gridCol w:w="278"/>
        <w:gridCol w:w="521"/>
      </w:tblGrid>
      <w:tr>
        <w:trPr/>
        <w:tc>
          <w:tcPr>
            <w:tcW w:w="205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attributable to:</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 dealer in fixed income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Client balances on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financing facilities of subsidiaries and other direct interest of operating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funding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6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attributable to trading activities was principally due to the effect of the significant increase in short-term interest rates, most notably in our fixed income business, as well as an increase in client balances on which we pay interest.</w:t>
      </w:r>
    </w:p>
    <w:p>
      <w:pPr>
        <w:pStyle w:val="TextBody"/>
        <w:bidi w:val="0"/>
        <w:spacing w:lineRule="auto" w:line="288" w:before="6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attributable to corporate funding was principally due to higher short-term interest rates on our revolving credit facility as well as an increase in average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June 30, 2023 Compared to Nine Months Ended June 30, 2022</w:t>
      </w:r>
    </w:p>
    <w:p>
      <w:pPr>
        <w:pStyle w:val="TextBody"/>
        <w:bidi w:val="0"/>
        <w:spacing w:lineRule="auto" w:line="288" w:before="120" w:after="60"/>
        <w:jc w:val="left"/>
        <w:rPr/>
      </w:pPr>
      <w:r>
        <w:rPr>
          <w:rFonts w:ascii="Times New Roman;sans-serif" w:hAnsi="Times New Roman;sans-serif"/>
          <w:b w:val="false"/>
          <w:color w:val="000000"/>
          <w:sz w:val="20"/>
          <w:u w:val="single"/>
        </w:rPr>
        <w:t>Transaction-based clearing expenses</w:t>
      </w:r>
      <w:r>
        <w:rPr>
          <w:color w:val="000000"/>
        </w:rPr>
        <w:t xml:space="preserve"> </w:t>
      </w:r>
    </w:p>
    <w:tbl>
      <w:tblPr>
        <w:tblW w:w="7369" w:type="dxa"/>
        <w:jc w:val="left"/>
        <w:tblInd w:w="0" w:type="dxa"/>
        <w:tblLayout w:type="fixed"/>
        <w:tblCellMar>
          <w:top w:w="28" w:type="dxa"/>
          <w:left w:w="28" w:type="dxa"/>
          <w:bottom w:w="28" w:type="dxa"/>
          <w:right w:w="28" w:type="dxa"/>
        </w:tblCellMar>
      </w:tblPr>
      <w:tblGrid>
        <w:gridCol w:w="956"/>
        <w:gridCol w:w="841"/>
        <w:gridCol w:w="843"/>
        <w:gridCol w:w="196"/>
        <w:gridCol w:w="556"/>
        <w:gridCol w:w="241"/>
        <w:gridCol w:w="109"/>
        <w:gridCol w:w="109"/>
        <w:gridCol w:w="109"/>
        <w:gridCol w:w="196"/>
        <w:gridCol w:w="556"/>
        <w:gridCol w:w="241"/>
        <w:gridCol w:w="109"/>
        <w:gridCol w:w="109"/>
        <w:gridCol w:w="109"/>
        <w:gridCol w:w="196"/>
        <w:gridCol w:w="541"/>
        <w:gridCol w:w="109"/>
        <w:gridCol w:w="109"/>
        <w:gridCol w:w="109"/>
        <w:gridCol w:w="109"/>
        <w:gridCol w:w="198"/>
        <w:gridCol w:w="198"/>
        <w:gridCol w:w="520"/>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Percentage of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transaction-based clearing expense was principally due to lower fees in the Equity Capital Markets business, related to lower ADR conversion and short-rebate fees, lower fees in the Retail Forex business, which related to decreased FX/CFD ADV, lower fees in the Exchange-Traded Futures &amp; Options business, principally related to a decrease in contracts traded, and lower fees in the Global Payments business. These decreases were partially offset by higher fees in the Debt Capital Markets business due to an increase in the ADV. The decline in the percentage of operating revenues was principally due to the significant increase in interest income.</w:t>
      </w:r>
    </w:p>
    <w:p>
      <w:pPr>
        <w:pStyle w:val="TextBody"/>
        <w:bidi w:val="0"/>
        <w:spacing w:lineRule="auto" w:line="288" w:before="120" w:after="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Introducing broker commissions</w:t>
      </w:r>
    </w:p>
    <w:tbl>
      <w:tblPr>
        <w:tblW w:w="7137" w:type="dxa"/>
        <w:jc w:val="left"/>
        <w:tblInd w:w="0" w:type="dxa"/>
        <w:tblLayout w:type="fixed"/>
        <w:tblCellMar>
          <w:top w:w="28" w:type="dxa"/>
          <w:left w:w="28" w:type="dxa"/>
          <w:bottom w:w="28" w:type="dxa"/>
          <w:right w:w="28" w:type="dxa"/>
        </w:tblCellMar>
      </w:tblPr>
      <w:tblGrid>
        <w:gridCol w:w="885"/>
        <w:gridCol w:w="777"/>
        <w:gridCol w:w="782"/>
        <w:gridCol w:w="196"/>
        <w:gridCol w:w="556"/>
        <w:gridCol w:w="241"/>
        <w:gridCol w:w="109"/>
        <w:gridCol w:w="109"/>
        <w:gridCol w:w="109"/>
        <w:gridCol w:w="196"/>
        <w:gridCol w:w="556"/>
        <w:gridCol w:w="241"/>
        <w:gridCol w:w="109"/>
        <w:gridCol w:w="109"/>
        <w:gridCol w:w="109"/>
        <w:gridCol w:w="224"/>
        <w:gridCol w:w="451"/>
        <w:gridCol w:w="125"/>
        <w:gridCol w:w="109"/>
        <w:gridCol w:w="109"/>
        <w:gridCol w:w="109"/>
        <w:gridCol w:w="203"/>
        <w:gridCol w:w="203"/>
        <w:gridCol w:w="520"/>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Percentage of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Introducing broker commission expense was relatively unchanged period-over-period. Decreased expenses are principally due to lower revenues within our Independent Wealth Management and Retail Forex businesses, were partially offset by higher costs in our Asset Management, Financial Ag and Energy and Global Payments businesses as well as incremental expense from the CDI acquisition, effective October 31, 2022. The decline in the percentage of operating revenues was principally due to the significant increase in interest income.</w:t>
      </w:r>
    </w:p>
    <w:p>
      <w:pPr>
        <w:pStyle w:val="TextBody"/>
        <w:bidi w:val="0"/>
        <w:spacing w:lineRule="auto" w:line="288" w:before="120" w:after="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w:t>
      </w:r>
    </w:p>
    <w:tbl>
      <w:tblPr>
        <w:tblW w:w="10205" w:type="dxa"/>
        <w:jc w:val="left"/>
        <w:tblInd w:w="0" w:type="dxa"/>
        <w:tblLayout w:type="fixed"/>
        <w:tblCellMar>
          <w:top w:w="28" w:type="dxa"/>
          <w:left w:w="28" w:type="dxa"/>
          <w:bottom w:w="28" w:type="dxa"/>
          <w:right w:w="28" w:type="dxa"/>
        </w:tblCellMar>
      </w:tblPr>
      <w:tblGrid>
        <w:gridCol w:w="2051"/>
        <w:gridCol w:w="1798"/>
        <w:gridCol w:w="1805"/>
        <w:gridCol w:w="196"/>
        <w:gridCol w:w="556"/>
        <w:gridCol w:w="109"/>
        <w:gridCol w:w="109"/>
        <w:gridCol w:w="109"/>
        <w:gridCol w:w="109"/>
        <w:gridCol w:w="196"/>
        <w:gridCol w:w="466"/>
        <w:gridCol w:w="109"/>
        <w:gridCol w:w="109"/>
        <w:gridCol w:w="109"/>
        <w:gridCol w:w="109"/>
        <w:gridCol w:w="196"/>
        <w:gridCol w:w="556"/>
        <w:gridCol w:w="109"/>
        <w:gridCol w:w="109"/>
        <w:gridCol w:w="109"/>
        <w:gridCol w:w="109"/>
        <w:gridCol w:w="278"/>
        <w:gridCol w:w="278"/>
        <w:gridCol w:w="521"/>
      </w:tblGrid>
      <w:tr>
        <w:trPr/>
        <w:tc>
          <w:tcPr>
            <w:tcW w:w="205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attributable to:</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 dealer in fixed income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borrowing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Client balances on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3,068 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financing facilities of subsidiaries and other direct interest of operating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funding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552 </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6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attributable to trading activities was principally due to an increase in short-term interest rates, an increase in ADV in our fixed income business, an increase in client balances on which we pay interest.</w:t>
      </w:r>
    </w:p>
    <w:p>
      <w:pPr>
        <w:pStyle w:val="TextBody"/>
        <w:bidi w:val="0"/>
        <w:spacing w:lineRule="auto" w:line="288" w:before="6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attributable to corporate funding was principally due to higher short-term interest rates on our revolving credit facility as well as an increase in average borrowings.</w:t>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Net Operating Revenues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revenues is one of the key measures used by management to assess operating segment performance. Net operating revenue is calculated as operating revenue less transaction-based clearing expenses, introducing broker commissions and interest expense. Transaction-based clearing expenses represent variable expenses paid to executing brokers, exchanges, clearing organizations and banks in relation to our transactional volumes. Introducing broker commissions include commission paid to non-employee third parties that have introduced clients to us. Net operating revenues represent revenues available to pay variable compensation to risk management consultants and traders and direct non-variable expenses, as well as variable and non-variable expenses of operational and administrative employees, including our executive management 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a disaggregation of consolidated net operating revenues used by management in evaluating our performance, for the periods indicated:</w:t>
      </w:r>
    </w:p>
    <w:tbl>
      <w:tblPr>
        <w:tblW w:w="10205" w:type="dxa"/>
        <w:jc w:val="left"/>
        <w:tblInd w:w="0" w:type="dxa"/>
        <w:tblLayout w:type="fixed"/>
        <w:tblCellMar>
          <w:top w:w="28" w:type="dxa"/>
          <w:left w:w="28" w:type="dxa"/>
          <w:bottom w:w="28" w:type="dxa"/>
          <w:right w:w="28" w:type="dxa"/>
        </w:tblCellMar>
      </w:tblPr>
      <w:tblGrid>
        <w:gridCol w:w="1111"/>
        <w:gridCol w:w="976"/>
        <w:gridCol w:w="980"/>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691"/>
        <w:gridCol w:w="109"/>
        <w:gridCol w:w="109"/>
        <w:gridCol w:w="109"/>
        <w:gridCol w:w="109"/>
        <w:gridCol w:w="196"/>
        <w:gridCol w:w="691"/>
        <w:gridCol w:w="109"/>
        <w:gridCol w:w="109"/>
        <w:gridCol w:w="109"/>
        <w:gridCol w:w="109"/>
        <w:gridCol w:w="268"/>
        <w:gridCol w:w="268"/>
        <w:gridCol w:w="382"/>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3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 CFD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Physical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net / fees earned on client balances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397%</w:t>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Unallocated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3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ans-serif" w:hAnsi="Times New Roman;sans-serif"/>
          <w:b/>
          <w:color w:val="000000"/>
          <w:sz w:val="20"/>
        </w:rPr>
      </w:pPr>
      <w:r>
        <w:rPr>
          <w:rFonts w:ascii="Times New Roman;sans-serif" w:hAnsi="Times New Roman;sans-serif"/>
          <w:b/>
          <w:color w:val="000000"/>
          <w:sz w:val="20"/>
        </w:rPr>
        <w:t>Compensation and Other Expenses</w:t>
      </w:r>
    </w:p>
    <w:p>
      <w:pPr>
        <w:pStyle w:val="TextBody"/>
        <w:bidi w:val="0"/>
        <w:spacing w:lineRule="auto" w:line="288" w:before="120" w:after="283"/>
        <w:jc w:val="left"/>
        <w:rPr/>
      </w:pPr>
      <w:r>
        <w:rPr>
          <w:rFonts w:ascii="Times New Roman;sans-serif" w:hAnsi="Times New Roman;sans-serif"/>
          <w:b w:val="false"/>
          <w:color w:val="000000"/>
          <w:sz w:val="20"/>
        </w:rPr>
        <w:t>The following table shows a summary of expenses, other than interest and transactional expenses.</w:t>
      </w:r>
      <w:r>
        <w:rPr>
          <w:color w:val="000000"/>
        </w:rPr>
        <w:t> </w:t>
      </w:r>
    </w:p>
    <w:tbl>
      <w:tblPr>
        <w:tblW w:w="9805" w:type="dxa"/>
        <w:jc w:val="left"/>
        <w:tblInd w:w="0" w:type="dxa"/>
        <w:tblLayout w:type="fixed"/>
        <w:tblCellMar>
          <w:top w:w="28" w:type="dxa"/>
          <w:left w:w="28" w:type="dxa"/>
          <w:bottom w:w="28" w:type="dxa"/>
          <w:right w:w="28" w:type="dxa"/>
        </w:tblCellMar>
      </w:tblPr>
      <w:tblGrid>
        <w:gridCol w:w="1064"/>
        <w:gridCol w:w="933"/>
        <w:gridCol w:w="942"/>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compensation and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systems and market information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Non-trading technology and support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Occupancy and equipment rental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Travel and business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Communications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compensation and other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2023 Compared to Three Months Ended June 30, 2022</w:t>
      </w:r>
    </w:p>
    <w:p>
      <w:pPr>
        <w:pStyle w:val="TextBody"/>
        <w:bidi w:val="0"/>
        <w:spacing w:lineRule="auto" w:line="288" w:before="120" w:after="180"/>
        <w:jc w:val="left"/>
        <w:rPr/>
      </w:pPr>
      <w:r>
        <w:rPr>
          <w:rFonts w:ascii="Times New Roman;sans-serif" w:hAnsi="Times New Roman;sans-serif"/>
          <w:b/>
          <w:color w:val="000000"/>
          <w:sz w:val="20"/>
        </w:rPr>
        <w:t>Compensation and Other Expenses:</w:t>
      </w:r>
      <w:r>
        <w:rPr>
          <w:color w:val="000000"/>
        </w:rPr>
        <w:t xml:space="preserve"> </w:t>
      </w:r>
      <w:r>
        <w:rPr>
          <w:rFonts w:ascii="Times New Roman;sans-serif" w:hAnsi="Times New Roman;sans-serif"/>
          <w:b w:val="false"/>
          <w:color w:val="000000"/>
          <w:sz w:val="20"/>
        </w:rPr>
        <w:t xml:space="preserve">Compensation and other expenses increased $38.2 million, or 13%, to $341.4 million in the three months ended June 30, 2023 compared to $303.2 million in the three months ended June 30, 2022.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Compensation and Benefits: </w:t>
      </w:r>
    </w:p>
    <w:tbl>
      <w:tblPr>
        <w:tblW w:w="10174" w:type="dxa"/>
        <w:jc w:val="left"/>
        <w:tblInd w:w="0" w:type="dxa"/>
        <w:tblLayout w:type="fixed"/>
        <w:tblCellMar>
          <w:top w:w="28" w:type="dxa"/>
          <w:left w:w="28" w:type="dxa"/>
          <w:bottom w:w="28" w:type="dxa"/>
          <w:right w:w="28" w:type="dxa"/>
        </w:tblCellMar>
      </w:tblPr>
      <w:tblGrid>
        <w:gridCol w:w="2084"/>
        <w:gridCol w:w="1829"/>
        <w:gridCol w:w="1846"/>
        <w:gridCol w:w="196"/>
        <w:gridCol w:w="556"/>
        <w:gridCol w:w="109"/>
        <w:gridCol w:w="109"/>
        <w:gridCol w:w="109"/>
        <w:gridCol w:w="109"/>
        <w:gridCol w:w="196"/>
        <w:gridCol w:w="556"/>
        <w:gridCol w:w="109"/>
        <w:gridCol w:w="109"/>
        <w:gridCol w:w="109"/>
        <w:gridCol w:w="109"/>
        <w:gridCol w:w="229"/>
        <w:gridCol w:w="439"/>
        <w:gridCol w:w="128"/>
        <w:gridCol w:w="109"/>
        <w:gridCol w:w="109"/>
        <w:gridCol w:w="109"/>
        <w:gridCol w:w="268"/>
        <w:gridCol w:w="268"/>
        <w:gridCol w:w="380"/>
      </w:tblGrid>
      <w:tr>
        <w:trPr/>
        <w:tc>
          <w:tcPr>
            <w:tcW w:w="208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compensation and benefits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Front office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Administrative, executive, and centralized and local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variable compensation and benefits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Variable compensation and benefits as a percentage of net operating revenues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Non-variable salaries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benefits and other compensation, excluding share-based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compensation and benefits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compensation and benefits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Total compensation and benefits as a percentage of operating revenues</w:t>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employees, end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Non-variable salaries increased principally due to the increase in headcount resulting from expanding capabilities among our business lines, as well as the growth in our operational and overhead departments supporting our business growth, as well as the impact of annual merit increases.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and other compensation, excluding share-based compensation, increased principally due to higher payroll taxes, benefits, and retirement costs. Share-based compensation, which contains stock option and restricted stock expense, increased principally due to higher employee participation in the Company’s restricted stock plan.</w:t>
      </w:r>
    </w:p>
    <w:p>
      <w:pPr>
        <w:pStyle w:val="TextBody"/>
        <w:bidi w:val="0"/>
        <w:spacing w:lineRule="auto" w:line="288" w:before="120" w:after="120"/>
        <w:jc w:val="left"/>
        <w:rPr/>
      </w:pPr>
      <w:r>
        <w:rPr>
          <w:rFonts w:ascii="Times New Roman;sans-serif" w:hAnsi="Times New Roman;sans-serif"/>
          <w:b/>
          <w:i/>
          <w:color w:val="000000"/>
          <w:sz w:val="20"/>
        </w:rPr>
        <w:t>Other Expenses:</w:t>
      </w:r>
      <w:r>
        <w:rPr>
          <w:color w:val="000000"/>
        </w:rPr>
        <w:t xml:space="preserve"> </w:t>
      </w:r>
      <w:r>
        <w:rPr>
          <w:rFonts w:ascii="Times New Roman;sans-serif" w:hAnsi="Times New Roman;sans-serif"/>
          <w:b w:val="false"/>
          <w:color w:val="000000"/>
          <w:sz w:val="20"/>
        </w:rPr>
        <w:t xml:space="preserve">Other non-compensation expenses increased $13.8 million, or 14%, to $114.8 million in the three months ended June 30, 2023 compared to $101.0 million in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Trading systems and market information increased $3.4 million, principally due to higher market information costs in the Debt Capital Markets, Retail Forex and Financial Ag &amp; Energy businesses, partially offset by lower trading system costs.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Travel and business development increased $1.3 million, principally due to higher transportation and lodging costs across several business lines following periods of reduced travel.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increased $2.1 million, principally due to the incremental depreciation expense from internally developed software placed into service, as well as higher amortization of intangibles acquired.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Bad debts, net of recoveries increased $7.0 million over the prior year. During the three months ended June 30, 2023, bad debts, net of recoveries were $6.3 million, principally related to bad debt expense of $4.5 million of client receivable in the Physical Ag &amp; Energy business, $1.5 million of client trading account deficits in our Retail Forex business, and $0.4 million in client trading account deficits in our Financial Ag &amp; Energy business. During the three months ended June 30, 2022, we recorded net recoveries of bad debts of $0.7 million, principally due to to net recoveries of $0.4 million in the Precious Metals business within our Commercial segment. Additionally, we recorded recoveries of $0.6 million of bad debt expense within the Institutional segment, including $0.5 million of client receivables in the Equity Capital Markets business and $0.1 million in client trading account deficits in the Exchange-Traded Futures and Options business.</w:t>
      </w:r>
    </w:p>
    <w:p>
      <w:pPr>
        <w:pStyle w:val="TextBody"/>
        <w:bidi w:val="0"/>
        <w:spacing w:lineRule="auto" w:line="288" w:before="120" w:after="180"/>
        <w:jc w:val="left"/>
        <w:rPr/>
      </w:pPr>
      <w:r>
        <w:rPr>
          <w:rFonts w:ascii="Times New Roman;sans-serif" w:hAnsi="Times New Roman;sans-serif"/>
          <w:b/>
          <w:color w:val="000000"/>
          <w:sz w:val="20"/>
        </w:rPr>
        <w:t>Provision for Taxes:</w:t>
      </w:r>
      <w:r>
        <w:rPr>
          <w:color w:val="000000"/>
        </w:rPr>
        <w:t xml:space="preserve"> </w:t>
      </w:r>
      <w:r>
        <w:rPr>
          <w:rFonts w:ascii="Times New Roman;sans-serif" w:hAnsi="Times New Roman;sans-serif"/>
          <w:b w:val="false"/>
          <w:color w:val="000000"/>
          <w:sz w:val="20"/>
        </w:rPr>
        <w:t>The effective income tax rate was 26% and 31% in the three months ended June 30, 2023 and 2022, respectively. The effective tax rate was higher than the U.S. federal statutory rate of 21% due to U.S. state and local taxes, GILTI, U.S. and foreign permanent differences, and the amount of foreign earnings taxed at higher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Nine Months Ended June 30, 2023 Compared to Nine Months Ended June 30, 2022 </w:t>
      </w:r>
    </w:p>
    <w:p>
      <w:pPr>
        <w:pStyle w:val="TextBody"/>
        <w:bidi w:val="0"/>
        <w:spacing w:lineRule="auto" w:line="288" w:before="120" w:after="120"/>
        <w:jc w:val="left"/>
        <w:rPr/>
      </w:pPr>
      <w:r>
        <w:rPr>
          <w:rFonts w:ascii="Times New Roman;sans-serif" w:hAnsi="Times New Roman;sans-serif"/>
          <w:b/>
          <w:color w:val="000000"/>
          <w:sz w:val="20"/>
        </w:rPr>
        <w:t>Compensation and Other Expenses:</w:t>
      </w:r>
      <w:r>
        <w:rPr>
          <w:color w:val="000000"/>
        </w:rPr>
        <w:t xml:space="preserve"> </w:t>
      </w:r>
      <w:r>
        <w:rPr>
          <w:rFonts w:ascii="Times New Roman;sans-serif" w:hAnsi="Times New Roman;sans-serif"/>
          <w:b w:val="false"/>
          <w:color w:val="000000"/>
          <w:sz w:val="20"/>
        </w:rPr>
        <w:t>Compensation and other expenses increased $109.4 million, or 12%, to $993.2 million in the nine months ended June 30, 2023 compared to $883.8 million in the nine months ended June 30,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Compensation and Benefits: </w:t>
      </w:r>
    </w:p>
    <w:tbl>
      <w:tblPr>
        <w:tblW w:w="10205" w:type="dxa"/>
        <w:jc w:val="left"/>
        <w:tblInd w:w="0" w:type="dxa"/>
        <w:tblLayout w:type="fixed"/>
        <w:tblCellMar>
          <w:top w:w="28" w:type="dxa"/>
          <w:left w:w="28" w:type="dxa"/>
          <w:bottom w:w="28" w:type="dxa"/>
          <w:right w:w="28" w:type="dxa"/>
        </w:tblCellMar>
      </w:tblPr>
      <w:tblGrid>
        <w:gridCol w:w="2002"/>
        <w:gridCol w:w="1753"/>
        <w:gridCol w:w="1770"/>
        <w:gridCol w:w="196"/>
        <w:gridCol w:w="556"/>
        <w:gridCol w:w="241"/>
        <w:gridCol w:w="109"/>
        <w:gridCol w:w="109"/>
        <w:gridCol w:w="109"/>
        <w:gridCol w:w="196"/>
        <w:gridCol w:w="556"/>
        <w:gridCol w:w="241"/>
        <w:gridCol w:w="109"/>
        <w:gridCol w:w="109"/>
        <w:gridCol w:w="109"/>
        <w:gridCol w:w="202"/>
        <w:gridCol w:w="481"/>
        <w:gridCol w:w="113"/>
        <w:gridCol w:w="109"/>
        <w:gridCol w:w="109"/>
        <w:gridCol w:w="109"/>
        <w:gridCol w:w="198"/>
        <w:gridCol w:w="198"/>
        <w:gridCol w:w="521"/>
      </w:tblGrid>
      <w:tr>
        <w:trPr/>
        <w:tc>
          <w:tcPr>
            <w:tcW w:w="2002"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5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5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compensation and benefits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Front office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Administrative, executive, and centralized and local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variable compensation and benefits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Variable compensation and benefits as a percentage of net operating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Non-variable salaries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benefits and other compensation, excluding share-based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compensation and benefits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5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Total compensation and benefits as a percentage of operating revenues</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38 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6"/>
              </w:rPr>
            </w:pPr>
            <w:r>
              <w:rPr>
                <w:rFonts w:ascii="Times New Roman;sans-serif" w:hAnsi="Times New Roman;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employees, end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Non-variable salaries increased principally due to the increase in headcount resulting from expanding capabilities among our business lines, as well as the growth in our operational and overhead departments supporting our business growth, as well as the impact of annual merit increases.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and other compensation, excluding share-based compensation, increased principally related to higher severance, payroll taxes, benefits, and retirement costs. During the nine months ended June 30, 2023, severance costs were $13.4 million, principally related to a reorganization within the Global Payments business. During the nine months ended June 30, 2022, severance costs were $1.4 million. Partially offsetting the increases was an increase in employee-elected deferred incentive, which is exchanged for restricted stock that will be amortized over a thirty-six month period following the grant date. Share-based compensation, which contains stock option and restricted stock expense, increased principally due to higher employee participation in the Company’s restricted stock plan, as well as from $3.3 million in accelerated share-based compensation for employee departures that are related to retirements and certain business reorganizations during the nine months ended June 30, 2023.</w:t>
      </w:r>
    </w:p>
    <w:p>
      <w:pPr>
        <w:pStyle w:val="TextBody"/>
        <w:bidi w:val="0"/>
        <w:spacing w:lineRule="auto" w:line="288" w:before="120" w:after="60"/>
        <w:jc w:val="left"/>
        <w:rPr/>
      </w:pPr>
      <w:r>
        <w:rPr>
          <w:rFonts w:ascii="Times New Roman;sans-serif" w:hAnsi="Times New Roman;sans-serif"/>
          <w:b/>
          <w:i/>
          <w:color w:val="000000"/>
          <w:sz w:val="20"/>
        </w:rPr>
        <w:t>Other Expenses:</w:t>
      </w:r>
      <w:r>
        <w:rPr>
          <w:color w:val="000000"/>
        </w:rPr>
        <w:t xml:space="preserve"> </w:t>
      </w:r>
      <w:r>
        <w:rPr>
          <w:rFonts w:ascii="Times New Roman;sans-serif" w:hAnsi="Times New Roman;sans-serif"/>
          <w:b w:val="false"/>
          <w:color w:val="000000"/>
          <w:sz w:val="20"/>
        </w:rPr>
        <w:t>Other non-compensation expenses increased $35.6 million, or 12%, to $335.1 million in the nine months ended June 30, 2023 compared to $299.5 million in the nine months ended June 30, 2022.</w:t>
      </w:r>
    </w:p>
    <w:p>
      <w:pPr>
        <w:pStyle w:val="TextBody"/>
        <w:bidi w:val="0"/>
        <w:spacing w:lineRule="auto" w:line="288" w:before="120" w:after="120"/>
        <w:jc w:val="left"/>
        <w:rPr/>
      </w:pPr>
      <w:r>
        <w:rPr>
          <w:rFonts w:ascii="Times New Roman;sans-serif" w:hAnsi="Times New Roman;sans-serif"/>
          <w:b w:val="false"/>
          <w:color w:val="000000"/>
          <w:sz w:val="20"/>
          <w:shd w:fill="FFFFFF" w:val="clear"/>
        </w:rPr>
        <w:t xml:space="preserve">Trading systems and market information costs increased $5.9 million, </w:t>
      </w:r>
      <w:r>
        <w:rPr>
          <w:rFonts w:ascii="Times New Roman;sans-serif" w:hAnsi="Times New Roman;sans-serif"/>
          <w:b w:val="false"/>
          <w:color w:val="000000"/>
          <w:sz w:val="20"/>
        </w:rPr>
        <w:t xml:space="preserve">principally due to higher market information costs in the Debt Capital Markets and Retail Forex businesses.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Non-trading technology and support increased $6.0 million, principally due to higher non-trading software maintenance and support costs related to various IT systems.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Travel and business development increased $6.9 million, principally due to higher transportation and lodging costs across all business lines and support departments following periods of reduced travel.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increased $7.5 million, principally due to the incremental depreciation expense from internally developed software placed into service, as well as higher amortization on leasehold improvements and intangibles acquired.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increased $5.5 million, principally due to an increase in non-variable direct business costs and non-compensation employee based expenses, certain litigation settlement matters and banking fees, partially offset by lower non-income taxes and lower contingent acquisition related expense.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 net of recoveries decreased $1.4 million over the prior year. During the nine months ended June 30, 2023, bad debt expense, net of recovery was $10.0 million, principally related to bad debt expense of $7.6 million of client receivables in the Physical Ag &amp; Energy business, $2.3 million of client trading account deficits in our Retail segment, and $0.4 million in client trading account deficits in our Financial Ag &amp; Energy business. During the nine months ended June 30, 2022, bad debt expense, net of recoveries was $11.4 million, principally related to client trading account deficits in our Commercial, Institutional, and Retail segments of $8.8 million, $1.6 million, and $1.0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ans-serif" w:hAnsi="Times New Roman;sans-serif"/>
          <w:b/>
          <w:color w:val="000000"/>
          <w:sz w:val="20"/>
        </w:rPr>
        <w:t>Gain on Acquisition and Other Gain:</w:t>
      </w:r>
      <w:r>
        <w:rPr>
          <w:color w:val="000000"/>
        </w:rPr>
        <w:t xml:space="preserve"> </w:t>
      </w:r>
      <w:r>
        <w:rPr>
          <w:rFonts w:ascii="Times New Roman;sans-serif" w:hAnsi="Times New Roman;sans-serif"/>
          <w:b w:val="false"/>
          <w:color w:val="000000"/>
          <w:sz w:val="20"/>
        </w:rPr>
        <w:t>The results of the nine months ended June 30, 2023 include a nonrecurring gain of $23.5 million related to the acquisition of CDI. The results of the nine months ended June 30, 2022 included a nonrecurring gain of $6.4 million related to a foreign exchange antitrust class action settlement received in March 2022.</w:t>
      </w:r>
    </w:p>
    <w:p>
      <w:pPr>
        <w:pStyle w:val="TextBody"/>
        <w:bidi w:val="0"/>
        <w:spacing w:lineRule="auto" w:line="288" w:before="0" w:after="120"/>
        <w:jc w:val="left"/>
        <w:rPr/>
      </w:pPr>
      <w:r>
        <w:rPr>
          <w:rFonts w:ascii="Times New Roman;sans-serif" w:hAnsi="Times New Roman;sans-serif"/>
          <w:b/>
          <w:color w:val="000000"/>
          <w:sz w:val="20"/>
        </w:rPr>
        <w:t>Provision for Taxes:</w:t>
      </w:r>
      <w:r>
        <w:rPr>
          <w:color w:val="000000"/>
        </w:rPr>
        <w:t xml:space="preserve"> </w:t>
      </w:r>
      <w:r>
        <w:rPr>
          <w:rFonts w:ascii="Times New Roman;sans-serif" w:hAnsi="Times New Roman;sans-serif"/>
          <w:b w:val="false"/>
          <w:color w:val="000000"/>
          <w:sz w:val="20"/>
        </w:rPr>
        <w:t>Our effective income tax rate was 24% and 27% for nine months ended June 30, 2023 and 2022, respectively. The gain on acquisition of $23.5 million in the nine months ended June 30, 2023 was not taxable and reduced the effective income tax rate 2.0%.</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for the nine months ended June 30, 2023 and 2022 was higher than the U.S. federal statutory rate of 21% due to U.S. state and local taxes, changes in valuation allowances, U.K. bank tax, U.S. permanent differences, and the amount of foreign earnings taxed at higher tax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Variable vs. Fixed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variable expenses and non-variable expenses as a percentage of total non-interest expenses for the periods indicated.</w:t>
      </w:r>
    </w:p>
    <w:tbl>
      <w:tblPr>
        <w:tblW w:w="10205" w:type="dxa"/>
        <w:jc w:val="left"/>
        <w:tblInd w:w="0" w:type="dxa"/>
        <w:tblLayout w:type="fixed"/>
        <w:tblCellMar>
          <w:top w:w="28" w:type="dxa"/>
          <w:left w:w="28" w:type="dxa"/>
          <w:bottom w:w="28" w:type="dxa"/>
          <w:right w:w="28" w:type="dxa"/>
        </w:tblCellMar>
      </w:tblPr>
      <w:tblGrid>
        <w:gridCol w:w="849"/>
        <w:gridCol w:w="641"/>
        <w:gridCol w:w="649"/>
        <w:gridCol w:w="196"/>
        <w:gridCol w:w="556"/>
        <w:gridCol w:w="109"/>
        <w:gridCol w:w="109"/>
        <w:gridCol w:w="109"/>
        <w:gridCol w:w="109"/>
        <w:gridCol w:w="167"/>
        <w:gridCol w:w="167"/>
        <w:gridCol w:w="169"/>
        <w:gridCol w:w="109"/>
        <w:gridCol w:w="109"/>
        <w:gridCol w:w="109"/>
        <w:gridCol w:w="196"/>
        <w:gridCol w:w="556"/>
        <w:gridCol w:w="109"/>
        <w:gridCol w:w="109"/>
        <w:gridCol w:w="109"/>
        <w:gridCol w:w="109"/>
        <w:gridCol w:w="167"/>
        <w:gridCol w:w="167"/>
        <w:gridCol w:w="169"/>
        <w:gridCol w:w="109"/>
        <w:gridCol w:w="109"/>
        <w:gridCol w:w="109"/>
        <w:gridCol w:w="196"/>
        <w:gridCol w:w="691"/>
        <w:gridCol w:w="109"/>
        <w:gridCol w:w="109"/>
        <w:gridCol w:w="109"/>
        <w:gridCol w:w="109"/>
        <w:gridCol w:w="167"/>
        <w:gridCol w:w="167"/>
        <w:gridCol w:w="169"/>
        <w:gridCol w:w="109"/>
        <w:gridCol w:w="109"/>
        <w:gridCol w:w="109"/>
        <w:gridCol w:w="196"/>
        <w:gridCol w:w="691"/>
        <w:gridCol w:w="109"/>
        <w:gridCol w:w="109"/>
        <w:gridCol w:w="109"/>
        <w:gridCol w:w="109"/>
        <w:gridCol w:w="160"/>
        <w:gridCol w:w="160"/>
        <w:gridCol w:w="234"/>
      </w:tblGrid>
      <w:tr>
        <w:trPr/>
        <w:tc>
          <w:tcPr>
            <w:tcW w:w="84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compensation and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variable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fixed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non-variable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r>
    </w:tbl>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expenses include variable compensation paid to traders and risk management consultants, bonuses paid to operational, administrative, and executive employees, transaction-based clearing expenses and introducing broker commissions. We seek to make our non-interest expenses variable to the greatest extent possible, and to keep our fixed costs as low as possible.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segments are based principally on the nature of the clients we serve (commercial, institutional, and retail), and a fourth operating segment, our global payments business. We manage our business in this manner due to our large global footprint, in which we have approximately 4,000 employees allowing us to serve clients in more than 180 countries.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activities are managed as operating segments and organized into reportable segments as shown below. </w:t>
      </w:r>
    </w:p>
    <w:tbl>
      <w:tblPr>
        <w:tblW w:w="8263" w:type="dxa"/>
        <w:jc w:val="left"/>
        <w:tblInd w:w="0" w:type="dxa"/>
        <w:tblLayout w:type="fixed"/>
        <w:tblCellMar>
          <w:top w:w="28" w:type="dxa"/>
          <w:left w:w="28" w:type="dxa"/>
          <w:bottom w:w="28" w:type="dxa"/>
          <w:right w:w="28" w:type="dxa"/>
        </w:tblCellMar>
      </w:tblPr>
      <w:tblGrid>
        <w:gridCol w:w="271"/>
        <w:gridCol w:w="239"/>
        <w:gridCol w:w="239"/>
        <w:gridCol w:w="239"/>
        <w:gridCol w:w="239"/>
        <w:gridCol w:w="241"/>
        <w:gridCol w:w="109"/>
        <w:gridCol w:w="109"/>
        <w:gridCol w:w="109"/>
        <w:gridCol w:w="302"/>
        <w:gridCol w:w="302"/>
        <w:gridCol w:w="302"/>
        <w:gridCol w:w="302"/>
        <w:gridCol w:w="302"/>
        <w:gridCol w:w="304"/>
        <w:gridCol w:w="109"/>
        <w:gridCol w:w="109"/>
        <w:gridCol w:w="109"/>
        <w:gridCol w:w="344"/>
        <w:gridCol w:w="344"/>
        <w:gridCol w:w="344"/>
        <w:gridCol w:w="344"/>
        <w:gridCol w:w="344"/>
        <w:gridCol w:w="347"/>
        <w:gridCol w:w="109"/>
        <w:gridCol w:w="109"/>
        <w:gridCol w:w="109"/>
        <w:gridCol w:w="301"/>
        <w:gridCol w:w="301"/>
        <w:gridCol w:w="301"/>
        <w:gridCol w:w="301"/>
        <w:gridCol w:w="301"/>
        <w:gridCol w:w="428"/>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82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StoneX Group Inc.</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Commercial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Institutional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Global Payments</w:t>
            </w:r>
          </w:p>
        </w:tc>
      </w:tr>
      <w:tr>
        <w:trPr/>
        <w:tc>
          <w:tcPr>
            <w:tcW w:w="1468"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Primary Activities: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Primary Activities: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Primary Activities: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Primary Activities:</w:t>
            </w:r>
          </w:p>
        </w:tc>
      </w:tr>
      <w:tr>
        <w:trPr/>
        <w:tc>
          <w:tcPr>
            <w:tcW w:w="1468"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Ag</w:t>
              <w:br/>
              <w:t>     &amp; Energy</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Capital </w:t>
              <w:br/>
              <w:t>     Markets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Forex</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left w:val="single" w:sz="8" w:space="0" w:color="000000"/>
              <w:right w:val="single" w:sz="8" w:space="0" w:color="000000"/>
            </w:tcBorders>
            <w:tcMar>
              <w:top w:w="0" w:type="dxa"/>
              <w:left w:w="14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Payments</w:t>
            </w:r>
          </w:p>
        </w:tc>
      </w:tr>
      <w:tr>
        <w:trPr/>
        <w:tc>
          <w:tcPr>
            <w:tcW w:w="1468"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Physical Ag </w:t>
              <w:br/>
              <w:t>     &amp; Energy</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Capital </w:t>
              <w:br/>
              <w:t>     Markets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Retail Precious Metals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left w:val="single" w:sz="8" w:space="0" w:color="000000"/>
              <w:right w:val="single" w:sz="8" w:space="0" w:color="000000"/>
            </w:tcBorders>
            <w:tcMar>
              <w:top w:w="0" w:type="dxa"/>
              <w:left w:w="14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Technology </w:t>
              <w:br/>
              <w:t>    Services</w:t>
            </w:r>
          </w:p>
        </w:tc>
      </w:tr>
      <w:tr>
        <w:trPr/>
        <w:tc>
          <w:tcPr>
            <w:tcW w:w="1468"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Precious Metals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FX Prime Brokerage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Independent </w:t>
              <w:br/>
              <w:t>      Wealth Management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468"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Exchange-Traded </w:t>
              <w:br/>
              <w:t>     Futures &amp;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468" w:type="dxa"/>
            <w:gridSpan w:val="6"/>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left w:val="single" w:sz="8" w:space="0" w:color="000000"/>
              <w:bottom w:val="single" w:sz="8" w:space="0" w:color="000000"/>
            </w:tcBorders>
            <w:tcMar>
              <w:top w:w="0" w:type="dxa"/>
              <w:left w:w="14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Correspondent </w:t>
              <w:br/>
              <w:t>     Clearing</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net operating revenues, net contribution and segment income are some of the key measures used by management to assess the performance of each segment and for decisions regarding the allocation of our resources. Operating revenues are calculated as total revenues less cost of sales of physical commodities.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operating revenues are calculated as operating revenues less transaction-based clearing expenses, introducing broker commissions and interest expense.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contribution is calculated as net operating revenues less variable compensation. Variable compensation paid to risk management consultants and traders generally represents a fixed percentage that can vary by revenue type. This fixed percentage is applied to revenues generated, and in some cases, revenues generated less transaction-based clearing expenses, base salaries and other expenses/allocations.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 is calculated as net contribution less non-variable direct segment costs. These non-variable direct expenses include trader base compensation and benefits, operational charges, trading systems and market information, professional fees, travel and business development, communications, bad debts, trade errors and direct marketing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Times New Roman;sans-serif" w:hAnsi="Times New Roman;sans-serif"/>
          <w:b/>
          <w:color w:val="000000"/>
          <w:sz w:val="20"/>
        </w:rPr>
      </w:pPr>
      <w:r>
        <w:rPr>
          <w:rFonts w:ascii="Times New Roman;sans-serif" w:hAnsi="Times New Roman;sans-serif"/>
          <w:b/>
          <w:color w:val="000000"/>
          <w:sz w:val="20"/>
        </w:rPr>
        <w:t>Total Segment Results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summary information concerning all of our business segments combined.</w:t>
      </w:r>
    </w:p>
    <w:tbl>
      <w:tblPr>
        <w:tblW w:w="11483" w:type="dxa"/>
        <w:jc w:val="left"/>
        <w:tblInd w:w="0" w:type="dxa"/>
        <w:tblLayout w:type="fixed"/>
        <w:tblCellMar>
          <w:top w:w="28" w:type="dxa"/>
          <w:left w:w="28" w:type="dxa"/>
          <w:bottom w:w="28" w:type="dxa"/>
          <w:right w:w="28" w:type="dxa"/>
        </w:tblCellMar>
      </w:tblPr>
      <w:tblGrid>
        <w:gridCol w:w="825"/>
        <w:gridCol w:w="276"/>
        <w:gridCol w:w="280"/>
        <w:gridCol w:w="196"/>
        <w:gridCol w:w="781"/>
        <w:gridCol w:w="109"/>
        <w:gridCol w:w="109"/>
        <w:gridCol w:w="109"/>
        <w:gridCol w:w="109"/>
        <w:gridCol w:w="285"/>
        <w:gridCol w:w="285"/>
        <w:gridCol w:w="286"/>
        <w:gridCol w:w="109"/>
        <w:gridCol w:w="109"/>
        <w:gridCol w:w="109"/>
        <w:gridCol w:w="196"/>
        <w:gridCol w:w="781"/>
        <w:gridCol w:w="109"/>
        <w:gridCol w:w="109"/>
        <w:gridCol w:w="109"/>
        <w:gridCol w:w="109"/>
        <w:gridCol w:w="285"/>
        <w:gridCol w:w="285"/>
        <w:gridCol w:w="286"/>
        <w:gridCol w:w="109"/>
        <w:gridCol w:w="109"/>
        <w:gridCol w:w="109"/>
        <w:gridCol w:w="196"/>
        <w:gridCol w:w="781"/>
        <w:gridCol w:w="109"/>
        <w:gridCol w:w="109"/>
        <w:gridCol w:w="109"/>
        <w:gridCol w:w="109"/>
        <w:gridCol w:w="285"/>
        <w:gridCol w:w="285"/>
        <w:gridCol w:w="286"/>
        <w:gridCol w:w="109"/>
        <w:gridCol w:w="109"/>
        <w:gridCol w:w="109"/>
        <w:gridCol w:w="196"/>
        <w:gridCol w:w="781"/>
        <w:gridCol w:w="109"/>
        <w:gridCol w:w="109"/>
        <w:gridCol w:w="109"/>
        <w:gridCol w:w="109"/>
        <w:gridCol w:w="264"/>
        <w:gridCol w:w="264"/>
        <w:gridCol w:w="373"/>
      </w:tblGrid>
      <w:tr>
        <w:trPr/>
        <w:tc>
          <w:tcPr>
            <w:tcW w:w="82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Operating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Operating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Operating Revenues</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direct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contribution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fixed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non-variable direct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gain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2023 Compared to Three Months Ended June 30, 2022</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contribution for all of our business segments increased $58.9 million, or 21%, to $340.8 million in the three months ended June 30, 2023 compared to $281.9 million in the three months ended June 30, 2022. Segment income increased $36.8 million, or 22%, to $207.9 million in the three months ended June 30, 2023 compared to $171.1 million in the three months ended June 30, 2022.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June 30, 2023 Compared to Nine Months Ended June 30, 2022</w:t>
      </w:r>
    </w:p>
    <w:p>
      <w:pPr>
        <w:pStyle w:val="TextBody"/>
        <w:bidi w:val="0"/>
        <w:spacing w:lineRule="auto" w:line="288" w:before="120" w:after="120"/>
        <w:jc w:val="left"/>
        <w:rPr/>
      </w:pPr>
      <w:r>
        <w:rPr>
          <w:rFonts w:ascii="Times New Roman;sans-serif" w:hAnsi="Times New Roman;sans-serif"/>
          <w:b w:val="false"/>
          <w:color w:val="000000"/>
          <w:sz w:val="20"/>
        </w:rPr>
        <w:t xml:space="preserve">Net contribution for all of our business segments increased $122.5 million, or 15%, to $949.1 million in the nine months ended June 30, 2023 compared to $826.6 million in the nine months ended June 30, 2022. Segment income increased $54.3 million, or 11%, to $560.2 million in </w:t>
      </w:r>
      <w:r>
        <w:rPr>
          <w:rFonts w:ascii="Times New Roman;sans-serif" w:hAnsi="Times New Roman;sans-serif"/>
          <w:b w:val="false"/>
          <w:color w:val="000000"/>
          <w:sz w:val="20"/>
          <w:shd w:fill="FFFFFF" w:val="clear"/>
        </w:rPr>
        <w:t>the nine months ended June 30, 2023</w:t>
      </w:r>
      <w:r>
        <w:rPr>
          <w:color w:val="000000"/>
        </w:rPr>
        <w:t xml:space="preserve"> </w:t>
      </w:r>
      <w:r>
        <w:rPr>
          <w:rFonts w:ascii="Times New Roman;sans-serif" w:hAnsi="Times New Roman;sans-serif"/>
          <w:b w:val="false"/>
          <w:color w:val="000000"/>
          <w:sz w:val="20"/>
        </w:rPr>
        <w:t xml:space="preserve">compared to $505.9 million in the nine months ended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Commercial</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We offer our commercial clients a comprehensive array of products and services, including risk management and hedging services, execution and clearing exchange-traded and OTC products, voice brokerage, market intelligence and physical trading, as well as commodity financing and logistics services. We believe providing these high-value-added products and services differentiates us from our competitors and maximizes our opportunity to retain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4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financial performance, a disaggregation of operating revenues, and select operating data and metrics used by management in evaluating the performance of the Commercial segment, for the periods indicated.</w:t>
      </w:r>
    </w:p>
    <w:tbl>
      <w:tblPr>
        <w:tblW w:w="10205" w:type="dxa"/>
        <w:jc w:val="center"/>
        <w:tblInd w:w="0" w:type="dxa"/>
        <w:tblLayout w:type="fixed"/>
        <w:tblCellMar>
          <w:top w:w="28" w:type="dxa"/>
          <w:left w:w="28" w:type="dxa"/>
          <w:bottom w:w="28" w:type="dxa"/>
          <w:right w:w="28" w:type="dxa"/>
        </w:tblCellMar>
      </w:tblPr>
      <w:tblGrid>
        <w:gridCol w:w="1113"/>
        <w:gridCol w:w="660"/>
        <w:gridCol w:w="664"/>
        <w:gridCol w:w="196"/>
        <w:gridCol w:w="781"/>
        <w:gridCol w:w="109"/>
        <w:gridCol w:w="109"/>
        <w:gridCol w:w="109"/>
        <w:gridCol w:w="109"/>
        <w:gridCol w:w="196"/>
        <w:gridCol w:w="781"/>
        <w:gridCol w:w="109"/>
        <w:gridCol w:w="109"/>
        <w:gridCol w:w="109"/>
        <w:gridCol w:w="109"/>
        <w:gridCol w:w="290"/>
        <w:gridCol w:w="290"/>
        <w:gridCol w:w="291"/>
        <w:gridCol w:w="109"/>
        <w:gridCol w:w="109"/>
        <w:gridCol w:w="109"/>
        <w:gridCol w:w="196"/>
        <w:gridCol w:w="781"/>
        <w:gridCol w:w="109"/>
        <w:gridCol w:w="109"/>
        <w:gridCol w:w="109"/>
        <w:gridCol w:w="109"/>
        <w:gridCol w:w="196"/>
        <w:gridCol w:w="781"/>
        <w:gridCol w:w="109"/>
        <w:gridCol w:w="109"/>
        <w:gridCol w:w="109"/>
        <w:gridCol w:w="109"/>
        <w:gridCol w:w="268"/>
        <w:gridCol w:w="268"/>
        <w:gridCol w:w="382"/>
      </w:tblGrid>
      <w:tr>
        <w:trPr/>
        <w:tc>
          <w:tcPr>
            <w:tcW w:w="111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324%</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133%</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direct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contribution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fixed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Non-variable direct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r>
    </w:tbl>
    <w:p>
      <w:pPr>
        <w:pStyle w:val="TextBody"/>
        <w:bidi w:val="0"/>
        <w:spacing w:before="20" w:after="283"/>
        <w:jc w:val="left"/>
        <w:rPr/>
      </w:pPr>
      <w:r>
        <w:rPr/>
      </w:r>
    </w:p>
    <w:tbl>
      <w:tblPr>
        <w:tblW w:w="10205" w:type="dxa"/>
        <w:jc w:val="center"/>
        <w:tblInd w:w="0" w:type="dxa"/>
        <w:tblLayout w:type="fixed"/>
        <w:tblCellMar>
          <w:top w:w="28" w:type="dxa"/>
          <w:left w:w="28" w:type="dxa"/>
          <w:bottom w:w="28" w:type="dxa"/>
          <w:right w:w="28" w:type="dxa"/>
        </w:tblCellMar>
      </w:tblPr>
      <w:tblGrid>
        <w:gridCol w:w="1224"/>
        <w:gridCol w:w="1057"/>
        <w:gridCol w:w="1057"/>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1"/>
      </w:tblGrid>
      <w:tr>
        <w:trPr/>
        <w:tc>
          <w:tcPr>
            <w:tcW w:w="122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Physical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 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352%</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1"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Select data (all $ amounts are U.S. dollar or U.S. dollar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Listed derivatives (contracts, 000’s)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Listed derivatives, average rate per contract </w:t>
            </w:r>
            <w:r>
              <w:rPr>
                <w:rFonts w:ascii="Times New Roman;sans-serif" w:hAnsi="Times New Roman;sans-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client equity - listed derivatives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3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derivatives (contracts, 000’s)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OTC derivatives, average rate per contract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bl>
    <w:tbl>
      <w:tblPr>
        <w:tblW w:w="10197"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985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Give-up fees, as well as cash and voice brokerage revenues are excluded from the calculation of listed derivatives, average rate per contract.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7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June 30, 2023 Compared to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increased $82.5 million, or 48%, to $252.7 million in the three months ended June 30, 2023 compared to $170.2 million in the three months ended June 30, 2022. Net operating revenues increased $71.7 million, or 51%, to $213.6 million in the three months ended June 30, 2023 compared to $141.9 million in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listed derivatives increased $5.3 million, or 9%, to $62.2 million in the three months ended June 30, 2023 compared to $56.9 million in the three months ended June 30, 2022. This increase was principally due to a 21% increase in overall listed derivatives contract volumes, primarily in agricultural commodity markets, compared to the prior year period. This increase was partially offset by a 9% decline in the average rate per contract as the prior year period experienced wider spreads in LME markets related to the Russian invasion of Ukraine and the resulting effect on base metal commodity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OTC derivatives increased $21.7 million, or 43%, to $71.9 million in the three months ended June 30, 2023 compared to $50.2 million in the three months ended June 30, 2022. This increase was principally due to a 46% increase in OTC derivative volumes compared to the three months ended June 30, 2022, primarily in agricultural markets, most notably in Brazil. This increase was partially offset by a 2% decline in the average rate per contract compared to the prior year period.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physical contracts increased $30.9 million, or 67%, to $77.0 million in the three months ended June 30, 2023 compared to $46.1 million in the three months ended June 30, 2022. This increase was principally due to a $29.4 million increase in operating revenues in our physical agricultural and energy business as a result of increased activity in biodiesel feedstock markets as well the acquisition of CDI, effective October 31,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 income earned on client balances increased $23.6 million, or 207%, to $35.0 million in the three months ended June 30, 2023 compared to $11.4 million in the three months ended June 30, 2022 as a result of a significant increase in short-term interest rates, which was partially offset by a 30% decline in average client equity to $1,815 million in the three months ended June 30, 2023.</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Variable expenses, excluding interest, expressed as a percentage of operating revenues declined to 34% in the three months ended June 30, 2023 compared to 37% in the three months ended June 30, 2022, primarily as a result of the increase in interest/fees earned on client balances, which is generally not a component of variable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 increased $44.5 million, or 61%, to $117.0 million in the three months ended June 30, 2023 compared to $72.5 million in the three months ended June 30, 2022, principally due to the growth in operating revenues, which was partially offset by a $10.5 million increase in non-variable direct expenses. The increase in non-variable direct expenses was principally driven by a $5.4 million increase in bad debts, net of recoveries, as well as a $3.0 million increase in fixed compensation and benefits compared to the three months ended June 30, 2022.</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June 30, 2023 Compared to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increased $148.3 million, or 29%, to $655.2 million in the nine months ended June 30, 2023 compared to $506.9 million in the nine months ended June 30, 2022. Net operating revenues increased $124.0 million, or 29%, to $551.4 million in the nine months ended June 30, 2023 compared to $427.4 million in the nine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derived from listed derivatives declined $10.6 million, or 6%, to $177.0 million in the nine months ended June 30, 2023 compared to $187.6 million in the nine months ended June 30, 2022. This decline was principally driven by a 15% decline in the average rate per contract as the prior year period experienced wider spreads in LME markets related to the Russian invasion of Ukraine and the resulting effect on base metal commodity prices. This decline was partially offset by a 11% increase in listed derivative contract volumes compared to the prior year period.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derived from OTC transactions increased $13.0 million, or 8%, to $172.3 million in the nine months ended June 30, 2023 compared to $159.3 million in the nine months ended June 30, 2022. This increase was principally driven by an 18% increase in OTC volumes, which was partially offset by an 8% decline in the average rate per contract as compared to the prior year.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physical transactions increased $61.9 million, or 51%, to $182.6 million in the nine months ended June 30, 2023 compared to $120.7 million in the nine months ended June 30, 2022, principally due to increased client activity in agricultural and energy commodities, including the acquisition of CDI, effective October 31, 2022, as well as continued client demand for precious metals.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 income earned on client balances increased $81.4 million, or 352%, to $104.5 million in the nine months ended June 30, 2023 compared to $23.1 million in the nine months ended June 30, 2022, as a result of a significant increase in short-term interest rates, which was partially offset by a 6% decrease in average client equity to $1,974 million in the nine months ended June 30, 2023.</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Variable expenses, excluding interest, expressed as a percentage of operating revenues declined to 32% in the nine months ended June 30, 2023 compared to 38% in the nine months ended June 30, 2022, primarily as the result of the increase in interest/fees earned on client balances, which is generally not a component of variable compensation.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increased $94.6 million, or 45%, to $302.7 million in the nine months ended June 30, 2023 compared to $208.1 million in the nine months ended June 30, 2022, principally due to the growth in operating revenues which was partially offset by a $16.7 million increase in non-variable direct expenses. The increase in non-variable direct expenses was primarily due to a $8.4 million increase in fixed compensation and benefits, a $1.8 million increase in selling and marketing, a $2.1 million increase in travel and business development and a $1.8 million increase in depreciation and amortization. These increases were partially offset by a $0.9 million decline in bad debts, net of recoveries.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Institutional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we originate, structure and place debt instruments in the international and domestic capital markets. These instruments include asset-backed securities (primarily in Argentina) and domestic municipal securities. </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financial performance, a disaggregation of operating revenues, and select operating data and metrics used by management in evaluating the performance of the Institutional segment, for the periods indicated.</w:t>
      </w:r>
    </w:p>
    <w:tbl>
      <w:tblPr>
        <w:tblW w:w="9730" w:type="dxa"/>
        <w:jc w:val="center"/>
        <w:tblInd w:w="0" w:type="dxa"/>
        <w:tblLayout w:type="fixed"/>
        <w:tblCellMar>
          <w:top w:w="28" w:type="dxa"/>
          <w:left w:w="28" w:type="dxa"/>
          <w:bottom w:w="28" w:type="dxa"/>
          <w:right w:w="28" w:type="dxa"/>
        </w:tblCellMar>
      </w:tblPr>
      <w:tblGrid>
        <w:gridCol w:w="1279"/>
        <w:gridCol w:w="881"/>
        <w:gridCol w:w="884"/>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2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gains,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and clearing fees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Consulting, management and account fees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203%</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of physical commodities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direct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contribution</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fixed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Non-variable direct expenses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r>
    </w:tbl>
    <w:p>
      <w:pPr>
        <w:pStyle w:val="TextBody"/>
        <w:bidi w:val="0"/>
        <w:spacing w:lineRule="auto" w:line="288" w:before="6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153"/>
        <w:gridCol w:w="947"/>
        <w:gridCol w:w="940"/>
        <w:gridCol w:w="232"/>
        <w:gridCol w:w="661"/>
        <w:gridCol w:w="129"/>
        <w:gridCol w:w="109"/>
        <w:gridCol w:w="109"/>
        <w:gridCol w:w="109"/>
        <w:gridCol w:w="196"/>
        <w:gridCol w:w="556"/>
        <w:gridCol w:w="109"/>
        <w:gridCol w:w="109"/>
        <w:gridCol w:w="109"/>
        <w:gridCol w:w="109"/>
        <w:gridCol w:w="290"/>
        <w:gridCol w:w="290"/>
        <w:gridCol w:w="291"/>
        <w:gridCol w:w="109"/>
        <w:gridCol w:w="109"/>
        <w:gridCol w:w="109"/>
        <w:gridCol w:w="196"/>
        <w:gridCol w:w="691"/>
        <w:gridCol w:w="109"/>
        <w:gridCol w:w="109"/>
        <w:gridCol w:w="109"/>
        <w:gridCol w:w="109"/>
        <w:gridCol w:w="196"/>
        <w:gridCol w:w="556"/>
        <w:gridCol w:w="109"/>
        <w:gridCol w:w="109"/>
        <w:gridCol w:w="109"/>
        <w:gridCol w:w="109"/>
        <w:gridCol w:w="268"/>
        <w:gridCol w:w="268"/>
        <w:gridCol w:w="383"/>
      </w:tblGrid>
      <w:tr>
        <w:trPr/>
        <w:tc>
          <w:tcPr>
            <w:tcW w:w="115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 (in millions):</w:t>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Listed derivatives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3040"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contracts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 fees earned on client balances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994%</w:t>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Select data (all $ amounts are U.S. dollar or U.S. dollar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Listed derivatives (contracts, 000’s)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Listed derivatives, average rate per contract </w:t>
            </w:r>
            <w:r>
              <w:rPr>
                <w:rFonts w:ascii="Times New Roman;sans-serif" w:hAnsi="Times New Roman;sans-serif"/>
                <w:b w:val="false"/>
                <w:color w:val="000000"/>
                <w:sz w:val="10"/>
              </w:rPr>
              <w:t>(1)</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client equity - listed derivatives (millions)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ADV (millions)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Securities RPM </w:t>
            </w:r>
            <w:r>
              <w:rPr>
                <w:rFonts w:ascii="Times New Roman;sans-serif" w:hAnsi="Times New Roman;sans-serif"/>
                <w:b w:val="false"/>
                <w:color w:val="000000"/>
                <w:sz w:val="10"/>
              </w:rPr>
              <w:t>(2)</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money market / FDIC sweep client balances (millions)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3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contracts ADV ( millions)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r>
      <w:tr>
        <w:trPr/>
        <w:tc>
          <w:tcPr>
            <w:tcW w:w="3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contracts RPM</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Give-up fee revenues are excluded from the calculation of listed derivatives, average rate per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associated with our fixed income activities is deducted from operating revenues in the calculation of Securities RPM, while interest income related to securities lending is excluded.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June 30, 2023 Compared to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increased $172.0 million, or 82%, to $381.1 million in the three months ended June 30, 2023 compared to $209.1 million in the three months ended June 30, 2022. Net operating revenues decreased $6.1 million, or 5%, to $120.3 million in the three months ended June 30, 2023 compared to $126.4 million in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listed derivatives declined $3.8 million, or 8%, to $45.4 million in the three months ended June 30, 2023 compared to $49.2 million in the three months ended June 30, 2022, principally due to an 11% decline in listed derivative contract volumes, partially offset by an 8% increase in the average rate per contract.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securities transactions increased $117.9 million, or 90%, to $249.0 million in the three months ended June 30, 2023 compared to $131.1 million in the three months ended June 30, 2022. The ADV of securities traded increased 33%, principally driven by increased client activity in both equity and fixed income markets. Carried interest on fixed income securities is a component of operating revenues, however interest expense associated with financing these positions is not. As a result of the significant increase in short-term interest rates, we have amended our calculation of Securities RPM, in the table above, to present the RPM after deducting from operating revenues the interest expense associated with our fixed income activities. The securities RPM decreased 43% in the three months ended June 30, 2023 compared to the three months ended June 30, 2022, principally due to a tightening of spreads and a change in product mix.</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FX contracts increased $1.6 million, or 20%, to $9.5 million in the three months ended June 30, 2023 compared to $7.9 million in the three months ended June 30, 2022, primarily driven by a 31% increase in the FX contract RPM, partially offset by a 7% decline in the ADV of FX contracts.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fee income earned on client balances, which is associated with our listed derivative and correspondent clearing businesses increased $47.1 million, to $56.5 million in the three months ended June 30, 2023, principally driven by a significant increase in short-term interest rates, as well as an increase in average client equity compared to the prior year period.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increase in short-term interest rates and the increase in ADV, interest expense increased $182.9 million, to $205.9 million in the three months ended June 30, 2023 compared to $23.0 million in the three months ended June 30, 2022, with interest expense directly associated with serving as an institutional dealer in fixed income securities increasing $144.9 million, interest paid to clients increasing $28.1 million, and interest expense directly attributable to securities lending activities increasing $5.7 million compared to the prior year period.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Variable expenses, excluding interest, expressed as a percentage of operating revenues declined to 25% in the three months ended June 30, 2023 compared to 53% in the three months ended June 30, 2022, primarily as the result of the increase in interest/fees earned on client balances, which is generally not a component of variable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 decreased $2.6 million, or 5%, to $45.1 million in the three months ended June 30, 2023 compared to $47.7 million in the three months ended June 30, 2022, as a result of the decline in net operating revenues noted above and a $9.6 million increase in non-variable direct expenses, including a $2.4 million increase in fixed compensation, a $1.7 million increase in professional fees, an $0.8 million increase in trade systems and market information an $0.8 million increase in travel and business development. These negative variances were partially offset by a $13.1 million decline in variable compensation as compared to the prior year.</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June 30, 2023 Compared to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increased $513.9 million, or 90%, to $1,087.1 million in the nine months ended June 30, 2023 compared to $573.2 million in the nine months ended June 30, 2022. Net operating revenues increased $49.3 million, or 14%, to $401.4 million in the nine months ended June 30, 2023 compared to $352.1 million in the nine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derived from listed derivatives declined $1.2 million, or 1%, to $140.9 million in the nine months ended June 30, 2023 compared to $142.1 million in the nine months ended June 30, 2022, principally driven by a 2% decline in listed derivative contract volumes and a 1% decline in the average rate per contract compared to the nine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securities transactions increased $334.9 million, or 95%, to $688.8 million in the nine months ended June 30, 2023 compared to $353.9 million in the nine months ended June 30, 2022. The ADV of securities traded increased 50%, principally driven by increased client activity in both equity and fixed income markets. Carried interest on fixed income securities is a component of operating revenues, however interest expense associated with financing these positions is not. As a result of the significant increase in short-term interest rates, we have amended our calculation of the securities RPM, in the table above, to present the RPM after deducting from operating revenues the interest expense associated with our fixed income activities. The securities RPM decreased 39% in the nine months ended June 30, 2023 compared to the nine months ended June 30, 2022, principally due to a tightening of spreads and a change in product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FX contracts increased $5.9 million, or 27%, to $28.0 million in the nine months ended June 30, 2023 compared to $22.1 million in the nine months ended June 30, 2022, primarily driven by a 13% increase in the ADV of FX contracts traded as well as a 18% increase in the average rate per contract.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interest and fee income earned on client balances, which is associated with our listed derivative business, as well as our correspondent clearing businesses, increased $159.0 million, to $175.0 million in the nine months ended June 30, 2023 compared to $16.0 million in the nine months ended June 30, 2022, principally driven by a significant increase in short-term interest rates, as well as an increase in average client equity as compared to the prior year period.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increase in short-term interest rates and the increase in the ADV, interest expense increased $472.3 million, to $516.8 million in the nine months ended June 30, 2023 compared to $44.5 million the nine months ended June 30, 2022, with interest expense directly associated with serving as an institutional dealer in fixed income securities increasing $355.7 million, interest paid to clients increasing $93.8 million and interest expense directly attributable to securities lending activities increasing $11.3 million compared to the prior year period.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Variable expenses, excluding interest, expressed as a percentage of operating revenues declined to 28% in the nine months ended June 30, 2023 compared to 55% in the nine months ended June 30, 2022, principally as the result of the increase in interest/fees earned on client balances, which is generally not a component of variable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increased $33.3 million, or 26%, to $162.9 million in the nine months ended June 30, 2023 compared to $129.6 million in the nine months ended June 30, 2022, primarily as a result of the increase in net operating revenues noted above, which was partially offset by a $17.9 million, or 21% increase in non-variable direct expenses versus the nine months ended June 30, 2022. The increase in non-variable direct expenses was primarily related to a $6.3 million increase in fixed compensation and benefits, a $3.1 million increase in trade systems and market information, a $1.7 million increase in non-trading technology and support, a $3.1 million increase in professional fees and a $1.5 million increase in travel and business development. These increases were partially offset by a $1.8 million positive variance in bad debts, net of recoveries compared to the nine months ended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Retail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our retail clients around the world access to over 18,000 global financial markets, including spot foreign exchange ("forex"), both financial trading and physical investment in precious metals, as well as contracts for difference (“CFDs”), which are investment products with returns linked to the performance of underlying assets. In addition, our independent wealth management business offers a comprehensive product suite to retail investors in the U.S.</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financial performance, a disaggregation of operating revenues, and select operating data and metrics used by management in evaluating the performance of the Retail segment, for the periods indicated.</w:t>
      </w:r>
    </w:p>
    <w:tbl>
      <w:tblPr>
        <w:tblW w:w="9820" w:type="dxa"/>
        <w:jc w:val="center"/>
        <w:tblInd w:w="0" w:type="dxa"/>
        <w:tblLayout w:type="fixed"/>
        <w:tblCellMar>
          <w:top w:w="28" w:type="dxa"/>
          <w:left w:w="28" w:type="dxa"/>
          <w:bottom w:w="28" w:type="dxa"/>
          <w:right w:w="28" w:type="dxa"/>
        </w:tblCellMar>
      </w:tblPr>
      <w:tblGrid>
        <w:gridCol w:w="1279"/>
        <w:gridCol w:w="881"/>
        <w:gridCol w:w="884"/>
        <w:gridCol w:w="196"/>
        <w:gridCol w:w="46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2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gains,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and clearing fees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Consulting, management and account fees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1,083%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of physical commodities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direct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contribution</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fixed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 net of recoveries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Non-variable direct expenses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gain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c>
      </w:tr>
    </w:tbl>
    <w:tbl>
      <w:tblPr>
        <w:tblW w:w="9685" w:type="dxa"/>
        <w:jc w:val="center"/>
        <w:tblInd w:w="0" w:type="dxa"/>
        <w:tblLayout w:type="fixed"/>
        <w:tblCellMar>
          <w:top w:w="28" w:type="dxa"/>
          <w:left w:w="28" w:type="dxa"/>
          <w:bottom w:w="28" w:type="dxa"/>
          <w:right w:w="28" w:type="dxa"/>
        </w:tblCellMar>
      </w:tblPr>
      <w:tblGrid>
        <w:gridCol w:w="1022"/>
        <w:gridCol w:w="897"/>
        <w:gridCol w:w="900"/>
        <w:gridCol w:w="196"/>
        <w:gridCol w:w="556"/>
        <w:gridCol w:w="109"/>
        <w:gridCol w:w="109"/>
        <w:gridCol w:w="109"/>
        <w:gridCol w:w="109"/>
        <w:gridCol w:w="196"/>
        <w:gridCol w:w="55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 CFD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Physical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 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181%</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2"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Select data (all $ amounts are U.S. dollar or U.S. dollar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 CFD contracts ADV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FX / CFD contracts RPM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r>
    </w:tbl>
    <w:p>
      <w:pPr>
        <w:pStyle w:val="TextBody"/>
        <w:bidi w:val="0"/>
        <w:spacing w:lineRule="auto" w:line="288" w:before="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June 30, 2023 Compared to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declined $17.0 million, or 16%, to $91.5 million in the three months ended June 30, 2023 compared to $108.5 million in the three months ended June 30, 2022. Net operating revenues decreased $12.8 million, or 16%, to $65.1 million in the three months ended June 30, 2023 compared to $77.9 million in the three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FX/CFD contracts declined $16.3 million, or 21%, to $62.6 million in the three months ended June 30, 2023 compared to $78.9 million in the three months ended June 30, 2022 primarily as a result of a 25% decline in FX/CFD contracts ADV, which was partially offset by a 7% increase in FX/CFD contracts RPM compared to the three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derived from securities transactions, which relates to our independent wealth management activities, declined $0.1 million to $23.4 million in the three months ended June 30, 2023 compared to $23.5 million in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physical contracts declined $0.7 million, or 15% to $4.0 million in the three months ended June 30, 2023 compared to $4.7 million in the three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 income earned on client balances was $0.7 million in both the three months ended June 30, 2023 and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expenses, excluding interest, as a percentage of operating revenues were 32% in the three months ended June 30, 2023 compared to 34% in the three months ended June 30, 2022.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decreased $9.1 million to $17.2 million in the three months ended June 30, 2023 compared to $26.3 million in the three months ended June 30, 2022, primarily as a result of the decline in net operating revenues noted above, which was partially offset by a $2.3 million decline in non-variable direct expenses compared to the three months ended June 30, 2022.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June 30, 2023 Compared to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decreased $84.3 million, or 26%, to $240.6 million in the nine months ended June 30, 2023 compared to $324.9 million in the nine months ended June 30, 2022. Net operating revenues decreased $69.7 million, or 30%, to $159.8 million in the nine months ended June 30, 2023 compared to $229.5 million in the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FX/CFD contracts declined $81.1 million, or 34%, to $154.7 million, primarily as a result of 17% and 19% declines in RPM and FX/CFD contracts ADV, respectively, compared to the nine months ended June 30, 2022. These declines were principally driven by diminished volatility and tighter trading ranges in our larger volume markets which resulted in reduced client trading activity and spread capture.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securities transactions, which are related to our independent wealth management activities, declined $7.8 million, or 10%, to $66.9 million in the nine months ended June 30, 2023 compared to $74.7 million in the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 derived from physical contracts increased $0.5 million, or 4%, to $12.2 million in the nine months ended June 30, 2023 compared to $11.7 million in the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 income earned on client balances increased $1.2 million, or 109%, to $2.3 million primarily as a result of an increase in short-term interest rates.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Variable expenses, excluding interest, as a percentage of operating revenues were 37% in the nine months ended June 30, 2023 compared to 34% in the nine months ended June 30, 2022.</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 decreased $77.4 million, or 81%, to $17.8 million in the nine months ended June 30, 2023 compared to $95.2 million in the nine months ended June 30, 2022, primarily as a result of the decline in net operating revenues noted above. Non-variable direct expenses increased $6.5 million, or 5%, compared to the nine months ended June 30, 2022. The increase in non-variable direct expenses, was principally the result of a $3.8 million increase in depreciation and amortization, a $1.3 million increase in bad debts, a $1.1 million increase in professional fees, a $0.9 million increase in non-trading technology and support, and a $0.9 million increase in travel and business development, which was partially offset by a $1.4 million decline in direct selling and marketing costs. Within the non-variable direct expenses, the $4.0 million decline in fixed compensation and benefits is associated with the movement of certain retail employees to a centralized marketing department, and replaced with a non-variable charge that resides in other fixed expenses. The nine months ended June 30, 2022 included a non-recurring $6.4 million foreign exchange antitrust class action settlement received in our Retail forex business.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Global Payments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customized foreign exchange and treasury services to banks and commercial businesses, charities, non-governmental organizations, as well as government organizations. We provide transparent pricing and offer payments services in more than 185 countries and 140 currencies, which we believe is more than any other payments solutions provider. </w:t>
      </w:r>
    </w:p>
    <w:p>
      <w:pPr>
        <w:pStyle w:val="TextBody"/>
        <w:bidi w:val="0"/>
        <w:spacing w:lineRule="auto" w:line="288" w:before="6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financial performance, a disaggregation of operating revenues, and select operating data and metrics used by management in evaluating the performance of the Global Payments segment for the periods indicated.</w:t>
      </w:r>
    </w:p>
    <w:tbl>
      <w:tblPr>
        <w:tblW w:w="9295" w:type="dxa"/>
        <w:jc w:val="left"/>
        <w:tblInd w:w="0" w:type="dxa"/>
        <w:tblLayout w:type="fixed"/>
        <w:tblCellMar>
          <w:top w:w="28" w:type="dxa"/>
          <w:left w:w="28" w:type="dxa"/>
          <w:bottom w:w="28" w:type="dxa"/>
          <w:right w:w="28" w:type="dxa"/>
        </w:tblCellMar>
      </w:tblPr>
      <w:tblGrid>
        <w:gridCol w:w="1172"/>
        <w:gridCol w:w="807"/>
        <w:gridCol w:w="810"/>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466"/>
        <w:gridCol w:w="109"/>
        <w:gridCol w:w="109"/>
        <w:gridCol w:w="109"/>
        <w:gridCol w:w="109"/>
        <w:gridCol w:w="196"/>
        <w:gridCol w:w="466"/>
        <w:gridCol w:w="109"/>
        <w:gridCol w:w="109"/>
        <w:gridCol w:w="109"/>
        <w:gridCol w:w="109"/>
        <w:gridCol w:w="268"/>
        <w:gridCol w:w="268"/>
        <w:gridCol w:w="380"/>
      </w:tblGrid>
      <w:tr>
        <w:trPr/>
        <w:tc>
          <w:tcPr>
            <w:tcW w:w="117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gains, net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Commission and clearing fees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Consulting, management, account fees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 of physical commodities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Transaction-based clearing expenses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Introducing broker commissions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operating revenues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contribution</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128%</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fixed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Bad debts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non-variable direct expenses</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bl>
    <w:tbl>
      <w:tblPr>
        <w:tblW w:w="9640" w:type="dxa"/>
        <w:jc w:val="left"/>
        <w:tblInd w:w="0" w:type="dxa"/>
        <w:tblLayout w:type="fixed"/>
        <w:tblCellMar>
          <w:top w:w="28" w:type="dxa"/>
          <w:left w:w="28" w:type="dxa"/>
          <w:bottom w:w="28" w:type="dxa"/>
          <w:right w:w="28" w:type="dxa"/>
        </w:tblCellMar>
      </w:tblPr>
      <w:tblGrid>
        <w:gridCol w:w="875"/>
        <w:gridCol w:w="768"/>
        <w:gridCol w:w="771"/>
        <w:gridCol w:w="196"/>
        <w:gridCol w:w="646"/>
        <w:gridCol w:w="109"/>
        <w:gridCol w:w="109"/>
        <w:gridCol w:w="109"/>
        <w:gridCol w:w="109"/>
        <w:gridCol w:w="196"/>
        <w:gridCol w:w="646"/>
        <w:gridCol w:w="109"/>
        <w:gridCol w:w="109"/>
        <w:gridCol w:w="109"/>
        <w:gridCol w:w="109"/>
        <w:gridCol w:w="290"/>
        <w:gridCol w:w="290"/>
        <w:gridCol w:w="291"/>
        <w:gridCol w:w="109"/>
        <w:gridCol w:w="109"/>
        <w:gridCol w:w="109"/>
        <w:gridCol w:w="196"/>
        <w:gridCol w:w="646"/>
        <w:gridCol w:w="109"/>
        <w:gridCol w:w="109"/>
        <w:gridCol w:w="109"/>
        <w:gridCol w:w="109"/>
        <w:gridCol w:w="196"/>
        <w:gridCol w:w="646"/>
        <w:gridCol w:w="109"/>
        <w:gridCol w:w="109"/>
        <w:gridCol w:w="109"/>
        <w:gridCol w:w="109"/>
        <w:gridCol w:w="268"/>
        <w:gridCol w:w="268"/>
        <w:gridCol w:w="380"/>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 (in millions):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7"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Select data (all $ amounts are U.S. dollar or U.S. dollar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Global Payments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bl>
    <w:p>
      <w:pPr>
        <w:pStyle w:val="TextBody"/>
        <w:bidi w:val="0"/>
        <w:spacing w:lineRule="auto" w:line="288" w:before="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June 30, 2023 Compared to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increased $8.9 million, or 20%, to $53.2 million in the three months ended June 30, 2023 compared to $44.3 million in the three months ended June 30, 2022. Net operating revenues increased $9.6 million, or 23%, to $51.0 million in the three months ended June 30, 2023 compared to $41.4 million in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operating revenues was principally due to a 21% increase in the RPM traded, primarily as a result of an increase in capital transactions from our financial institution clients, which was partially offset by a 2% decline in the average daily notional payment volume.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Variable expenses, excluding interest, expressed as a percentage of operating revenues were 21% in the three months ended June 30, 2023 compared to 24% in the three months ended June 30, 2022.</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increased $4.0 million, or 16%, to $28.6 million in the three months ended June 30, 2023 compared to $24.6 million in the three months ended June 30, 2022. This increase was primarily as result of the increase in net operating revenues noted above, which was partially offset by a $4.3 million increase in non-variable direct expenses. The increase in non-variable direct expenses was primarily driven by a $3.3 million increase in fixed compensation and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June 30, 2023 Compared to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increased $30.7 million, or 24%, to $158.4 million in the nine months ended June 30, 2023 compared to $127.7 million in the nine months ended June 30, 2022. Net operating revenues increased $31.1 million, or 26%, to $151.7 million in the nine months ended June 30, 2023 compared to $120.6 million in the nine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operating revenues was primarily driven by an 11% increase in the average daily volume, as well as a 10% increase in the RPM traded compared to the nine months ended June 30, 2022.</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Variable expenses, excluding interest, expressed as a percentage of operating revenues were 23% in both the nine months ended June 30, 2023 and 2022.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income increased $3.8 million, or 5%, to $76.8 million in the nine months ended June 30, 2023 compared to $73.0 million in the nine months ended June 30, 2022. This increase was primarily driven by the increase in net operating revenues noted above, which was partially offset by a $20.7 million increase in non-variable direct expenses. The increase in non-variable direct expenses was primarily driven by a $17.5 million increase in fixed compensation and benefits, including $10.0 million in severance related to a reorganization of the business. This reorganization plan will include a decline in variable compensation and benefits as a percentage of operating revenues going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Unallocated Costs and Expenses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our unallocated costs and expenses. These unallocated costs and expenses include certain shared services such as information technology, accounting and treasury, credit and risk, legal and compliance, and human resources and other activities, which are not included in the results of the operating segments above. </w:t>
      </w:r>
    </w:p>
    <w:tbl>
      <w:tblPr>
        <w:tblW w:w="9626" w:type="dxa"/>
        <w:jc w:val="left"/>
        <w:tblInd w:w="0" w:type="dxa"/>
        <w:tblLayout w:type="fixed"/>
        <w:tblCellMar>
          <w:top w:w="28" w:type="dxa"/>
          <w:left w:w="28" w:type="dxa"/>
          <w:bottom w:w="28" w:type="dxa"/>
          <w:right w:w="28" w:type="dxa"/>
        </w:tblCellMar>
      </w:tblPr>
      <w:tblGrid>
        <w:gridCol w:w="1064"/>
        <w:gridCol w:w="934"/>
        <w:gridCol w:w="942"/>
        <w:gridCol w:w="196"/>
        <w:gridCol w:w="466"/>
        <w:gridCol w:w="109"/>
        <w:gridCol w:w="109"/>
        <w:gridCol w:w="109"/>
        <w:gridCol w:w="109"/>
        <w:gridCol w:w="196"/>
        <w:gridCol w:w="466"/>
        <w:gridCol w:w="109"/>
        <w:gridCol w:w="109"/>
        <w:gridCol w:w="109"/>
        <w:gridCol w:w="109"/>
        <w:gridCol w:w="290"/>
        <w:gridCol w:w="290"/>
        <w:gridCol w:w="291"/>
        <w:gridCol w:w="109"/>
        <w:gridCol w:w="109"/>
        <w:gridCol w:w="109"/>
        <w:gridCol w:w="196"/>
        <w:gridCol w:w="556"/>
        <w:gridCol w:w="109"/>
        <w:gridCol w:w="109"/>
        <w:gridCol w:w="109"/>
        <w:gridCol w:w="109"/>
        <w:gridCol w:w="196"/>
        <w:gridCol w:w="556"/>
        <w:gridCol w:w="109"/>
        <w:gridCol w:w="109"/>
        <w:gridCol w:w="109"/>
        <w:gridCol w:w="109"/>
        <w:gridCol w:w="268"/>
        <w:gridCol w:w="268"/>
        <w:gridCol w:w="380"/>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June 30,</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Variable compensation and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compensation and benefits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Occupancy and equipment rental</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Non-trading technology and support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fees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Communications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Trading systems and market information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Travel and business development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compensation and other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r>
    </w:tbl>
    <w:p>
      <w:pPr>
        <w:pStyle w:val="TextBody"/>
        <w:bidi w:val="0"/>
        <w:spacing w:lineRule="auto" w:line="288" w:before="20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June 30, 2023 Compared to Three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unallocated costs and other expenses increased $12.6 million, or 15%, to $99.3 million in the three months ended June 30, 2023 compared to $86.7 million in the three months ended June 30, 2022. Compensation and benefits increased $12.6 million, or 28%, to $57.0 million in the three months ended June 30, 2023 compared to $44.4 million in the three months ended June 30,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variable and non-variable compensation is partially related to the move of certain client engagement teams out of discrete business lines and into shared services, and replacing compensation expense in those discrete business lines with a non-variable charge. Additionally, the increase in non-variable compensation is partially a result of hiring among our compliance and IT departments, principally due to company growth, and within the accounting department, principally due to the acquisition of CDI. Average administrative headcount increased 30% in the three months ended June 30, 2023 compared to the three months ended June 30, 2022. The increase in variable compensation is principally due to improved performance.</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non-compensation expenses were relatively unchanged at $42.3 million in the three months ended June 30, 2023 and 2022. Most notably, selling and marketing fees were lower due principally to the bi-annual global sales and strategy meeting held in March 2022, while non-trading technology maintenance and support, for the various systems used by the support services departments, and travel and business development increased.</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Nine Months Ended June 30, 2023 Compared to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Total unallocated costs and other expenses increased $35.4 million, or 14%, to $289.1 million in the nine months ended June 30, 2023 compared to $253.7 million in the nine months ended June 30, 2022. Compensation and benefits increased $31.5 million, or 24%, to $162.1 million in the nine months ended June 30, 2023 compared to $130.6 million in the nine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variable and non-variable compensation is partially related to the move of certain client engagement teams out of discrete business lines and into shared services as discussed above.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increase in non-variable compensation is related to higher salaries due to increased headcount and annual merit increases, as well as the acceleration of share-based compensation related to employee departures that are related to retirements and certain business reorganizations. Additionally, the increase in variable compensation is principally due to higher performance, and to a lessor extent, an increase in headcount.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non-compensation expenses increased $3.9 million, or 3%, to $127.0 million in the nine months ended June 30, 2023 compared to $123.1 million in the nine months ended June 30, 2022 principally due to higher occupancy costs, principally related to an increase in property tax assessments in London, non-trading technology maintenance and support costs for the various systems used by the support services departments, and travel and business development costs, partially offset by lower selling and marketing costs due principally to the bi-annual global sales and strategy meeting held in March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Financial Condition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Liquidity is our ability to generate sufficient funding to meet all of our cash needs. Liquidity is of critical importance to us and imperative to maintaining our operations on a daily basis. Senior management establishes liquidity and capital policies, which we monitor and review for funding from both internal and external sources. We continuously evaluate how effectively our policies support our business operations. We have historically financed our liquidity and capital needs principally with funds generated from our subsidiaries' operations, issuing debt and equity securities, and accessing committed credit facilities. We plan to finance our future operating liquidity and regulatory capital needs in a manner consistent with our past practice. Liquidity and capital matters are reported regularly to our Board of Directors.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StoneX Financial Inc. is registered as a broker-dealer with the Securities and Exchange Commission (“SEC”) and is a member of both the Financial Industry Regulatory Authority (“FINRA”) and the Municipal Securities Rulemaking Board (“MSRB”). In addition, StoneX Financial Inc. is registered as a futures commission merchant with the CFTC and NFA, and a member of various commodities and futures exchanges in the U.S. and abroad. StoneX Financial Inc. has a responsibility to meet margin calls at all exchanges on a daily basis, and even on an intra-day basis, if deemed necessary by relevant regulators or exchanges. We require our clients to make margin deposits the next business day, and we require our largest clients to make intra-day margin payments during periods of significant price movement. Margin required to be posted to the exchanges is a function of our clients’ net open positions and required margin per contract. StoneX Financial Inc. is subject to minimum capital requirements under Section 4(f)(b) of the Commodity Exchange Act, Part 1.17 of the rules and regulations of the CFTC and the SEC Uniform Net Capital Rule 15c3-1 under the Securities Exchange Act of 1934. StoneX Financial Inc. is also subject to the Rule 15c3-3 of the Securities Exchange Act of 1934, as amended (“Customer Protection Rule”).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Capital Group, LLC is registered as both a futures commission merchant and registered foreign exchange dealer, subject to minimum capital requirements under Section 4(f)(b) of the Commodity Exchange Act, Part 1.17 of the rules and regulations of the CFTC and NFA Financial Requirements, Sections 1 and 11. </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StoneX Markets LLC is a CFTC provisionally registered swap dealer, whose business is overseen by the NFA. CFTC 23.154, Calculation of Initial Margin rules impose requirements on registered swap dealers and certain counterparties to exchange initial margin, with phased-in compliance dates, under which we fall in the final compliance date tier recently extended to September 2022. Additionally, the CFTC finalized the proposed net capital rules applicable to swap dealers on July 22, 2020, with the new rules effective October 6, 2021.</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rules specify the minimum amount of capital that must be available to support our clients’ account balances and open trading positions, including the amount of assets that StoneX Financial Inc., Gain Capital Group, LLC and StoneX Markets LLC must maintain in relatively liquid form. Further, the rules are designed to maintain general financial integrity and liquidity.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StoneX Financial Ltd is regulated by the Financial Conduct Authority (“FCA”), the regulator of the financial services industry in the U.K. and is subject to regulations which impose regulatory capital requirements. StoneX Financial Ltd is a member of various commodities and futures exchanges in the U.K. and Europe and has the responsibility to meet margin calls at all exchanges on a daily basis and intra-day basis, as necessary. StoneX Financial Ltd is required to be compliant with the U.K.’s ‘MIFIDPRU’ regulation. To comply with these standards, we have implemented daily liquidity procedures, conduct periodic reviews of liquidity by stressed scenarios, and are required to maintain enough liquidity for the firm to survive for one year under the appropriate stressed conditions.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regulations discussed above limit funds available for dividends to us. As a result, we may be unable to access our operating subsidiaries’ funds when we need them.</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our physical commodities trading, commercial hedging OTC, securities and foreign exchange trading activities, we may be required upon to meet margin calls with our various trading counterparties based upon the underlying open transactions we have in place with those counterparties.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continuously review our overall credit and capital needs to ensure that our capital base, both stockholders’ equity and debt, as well as available credit facilities can appropriately support the anticipated financing needs of our operating subsidiaries.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total equity of $1,329.9 million, outstanding loans under revolving credit facilities and other payables to lenders of $422.6 million, and $341.3 million outstanding on our senior secured notes, net of deferred financing costs.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assets are liquid. As of June 30, 2023, approximately 97% of our assets consisted of cash; securities purchased under agreements to resell; securities borrowed; deposits with and receivables from exchange-clearing organizations, broker-dealers, clearing organizations and counterparties; client receivables; marketable financial instruments and investments; and physical commodities inventory. All assets that are not client and counterparty deposit financed are financed by our equity capital, bank loans, short-term borrowings from financial instruments sold, not yet purchased and under repurchase agreements, securities loaned and other payables.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Client and Counterparty Credit and Liquidity Risk</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expose us to credit risk of default of our clients and counterparties. The risk includes liquidity risk to the extent our clients or counterparties are unable to make timely payment of margin or other credit support. We are indirectly exposed to the financing and liquidity risks of our clients and counterparties, including the risks that our clients and counterparties may not be able to finance their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a clearing broker, we act on behalf of our clients for all trades consummated on exchanges. We must pay initial and variation margin to the exchanges, on a net basis, before we receive the required payments from our clients. Accordingly, we are responsible for our clients’ obligations with respect to these transactions, which exposes us to significant credit risk. Our clients are required to make any margin deposits the next business day, and we require our largest clients to make intra-day margin payments during periods of significant price movement. Our clients are obligated to maintain initial margin requirements at the level set by the respective exchanges, but we have the ability to increase margin requirements for clients based on their open positions, trading activity, or market conditions.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it relates to OTC derivative transactions, we act as a principal, which exposes us to the credit risk of both our clients and the counterparties with which we offset our client positions. As with exchange-traded transactions, our OTC transactions require that we meet initial and variation margin payments on behalf of our clients before we receive related required payments from our clients. OTC clients are required to post sufficient collateral to meet margin requirements based on value-at-risk models, as well as variation margin requirements based on the price movement of the commodity or security in which they transact. Our clients are required to make any margin deposits the next business day, and we may require our largest clients to make intra-day margin payments during periods of significant price movement. In this business as well, we have the ability to increase the margin requirements for clients based on their open positions, trading activity, or market conditions. On a limited basis, we provide credit thresholds to certain clients, based on internal evaluations and monitoring of client creditworthiness.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with OTC transactions, we are at risk that a counterparty will fail to meet its obligations to us when due. We would then be exposed to the risk that the settlement of a transaction which is due a client will not be collected from the respective counterparty with which the transaction was offset. We continuously monitor the credit quality of our respective counterparties and mark our positions held with each counterparty to market on a daily basis.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securities purchased under agreements to resell, securities sold under agreements to repurchase, securities borrowed and securities loaned transactions to, among other things, finance financial instruments, acquire securities to cover short positions, acquire securities for settlement, and to accommodate counterparties’ needs. In connection with these agreements and transactions, it is our policy to receive or pledge cash or securities to adequately collateralize such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transactions in accordance with general industry guidelines and practices. The collateral is valued daily and we may require counterparties to deposit additional collateral or return collateral pledged, when appropriate.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OptionSellers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2018, balances in approximately 300 accounts of the futures commission merchant (“FCM”) division of our wholly owned subsidiary, StoneX Financial Inc., declined below required maintenance margin levels and into deficit balances, primarily as a result of significant and unexpected price fluctuations in the natural gas markets. All positions in these accounts, which were managed by OptionSellers.com Inc. (“OptionSellers”), an independent Commodity Trading Advisor (“CTA”), were liquidated in accordance with StoneX Financial Inc.’s client agreements and obligations under market regulation standards.  OptionSellers, in its role as a CTA, had been granted by each of its clients full discretionary authority to manage the trading in the client accounts, while StoneX Financial Inc. acted solely as the clearing firm in its role as the FCM.</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StoneX Financial Inc.’s client agreements hold account owners liable for all losses in their accounts and obligate the account holders to reimburse StoneX Financial Inc. for any account deficits in their accounts. As of June 30, 2023, the receivable from these client accounts, net of collections and other allowable deductions was $20.8 million, with no individual account receivable exceeding $1.4 million. As of June 30, 2023, the allowance against these uncollected balances was $6.6 million. We are pursuing collection of the uncollected balances through arbitration proceedings against the account holders. We will consider developments in these proceedings, and any other relevant matters, in determining whether any changes in the allowance against the uncollected balances are required.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these and other arbitration proceedings, clients are seeking damages from StoneX Financial Inc. relating to the trading losses in their accounts. During the nine months ended June 30, 2023, we privately negotiated settlements of a number of arbitration proceedings, pursuant to which, in most cases, the accounts holders agreed to pay all or a substantial portion of their outstanding deficit balances. In some cases we agreed to make payments to certain account holders in amounts that are not material to us, individually or in the aggregate. We intend to continue vigorously pursuing claims through arbitration and settling cases in what we determine to be appropriate circumstances. The ultimate outcome of remaining arbitrations cannot presently be determined.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future collections and the outcomes of arbitration proceedings, any provisions for bad debts and actual losses may or may not be material to our financial results. However, we believe that the likelihood of a material adverse outcome is remote, and do not believe that any potential losses related to this matter would impact our ability to comply with our ongoing liquidity, capital, and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Primary Sources and Uses of Cash</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and client cash and securities held for clients are held at banks, deposits at liquidity providers, investments in money market funds that invest in highly liquid investment grade securities including U.S. treasury bills, as well as investments in U.S. treasury bills. In general, we believe all of our investments and deposits are of high credit quality and we have more than adequate liquidity to conduct our businesses.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and liabilities may vary significantly from period to period due to changing client requirements, economic and market conditions, and our growth. Our total assets as of June 30, 2023 and September 30, 2022, were $21.9 billion and $19.9 billion, respectively. Our operating activities generate or utilize cash as a result of net income or loss earned or incurred during each period and fluctuations in our assets and liabilities. The most significant fluctuations arise from changes in the level of client activity, commodities prices, and changes in the balances of financial instruments and commodities inventory. StoneX Financial Inc. and StoneX Financial Ltd occasionally utilize their margin line credit facilities, on a short-term basis, to meet intraday settlements with the commodity exchanges prior to collecting margin funds from their clients.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assets of StoneX Financial Inc., StoneX Financial Ltd, StoneX Markets LLC, and Gain Capital Group, LLC are restricted from being transferred to us or other affiliates due to specific regulatory requirements. This restriction has no current impact on our ability to meet our cash obligations, and no such impact is expected in the future.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have liquidity and funding policies and processes in place that are intended to maintain sufficient flexibility to address both company-specific and industry liquidity needs. The majority of our excess funds is held with high-quality institutions, under highly-liquid reverse repurchase agreements, U.S. government obligations, interest earning cash deposits and AA-rated money market investments.</w:t>
      </w:r>
    </w:p>
    <w:p>
      <w:pPr>
        <w:pStyle w:val="TextBody"/>
        <w:bidi w:val="0"/>
        <w:spacing w:lineRule="auto" w:line="288" w:before="0" w:after="0"/>
        <w:jc w:val="left"/>
        <w:rPr/>
      </w:pPr>
      <w:r>
        <w:rPr>
          <w:rFonts w:ascii="Times New Roman;sans-serif" w:hAnsi="Times New Roman;sans-serif"/>
          <w:b w:val="false"/>
          <w:color w:val="000000"/>
          <w:sz w:val="20"/>
        </w:rPr>
        <w:t>We do not intend to distribute earnings of our foreign subsidiaries in a taxable manner, and therefore intend to limit distributions to earnings previously taxed in the U.S., or earnings that would qualify for the 100 percent dividends received deduction, and earnings that would not result in any significant foreign taxes. We repatriat</w:t>
      </w:r>
      <w:r>
        <w:rPr>
          <w:rFonts w:ascii="Times New Roman;sans-serif" w:hAnsi="Times New Roman;sans-serif"/>
          <w:b w:val="false"/>
          <w:color w:val="000000"/>
          <w:sz w:val="20"/>
          <w:shd w:fill="FFFFFF" w:val="clear"/>
        </w:rPr>
        <w:t xml:space="preserve">ed </w:t>
      </w:r>
      <w:r>
        <w:rPr>
          <w:rFonts w:ascii="Times New Roman;sans-serif" w:hAnsi="Times New Roman;sans-serif"/>
          <w:b w:val="false"/>
          <w:color w:val="000000"/>
          <w:sz w:val="20"/>
        </w:rPr>
        <w:t>$11.2 million and $17.3 million for the nine months ended June 30, 2023 and 2022, respectively, of earnings previously taxed in the U.S., resulting in no significant incremental taxes. Therefore, the Company has not recognized a deferred tax liability on its investment in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Senior Secured Notes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we issued $350 million in aggregate principal amount of our 8.625% Senior Secured Notes due 2025 (the “Notes”) at the offering price of 98.5% of the aggregate principal amount. The Senior Secured Notes are fully and unconditionally guaranteed, jointly and severally, on a senior second lien secured basis, by certain subsidiaries of the Company that guarantee the Company’s senior committed credit facility and certain of its domestic subsidiaries.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will mature on June 15, 2025. Interest on the Notes accrues at a rate of 8.625% per annum and is payable semiannually in arrears on June 15 and December 15 of each year. We incurred debt issuance costs of $9.5 million in connection with the issuance of the Notes, which are being amortized over the term of the Notes under the effective interest method. We have had the right, since June 15, 2022, to redeem the Notes, in whole or in part, at the redemption prices set forth in the indenture.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Committed Credit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four committed bank credit facilities, totaling $1,155.0 million, of which $392.1 million was outstanding. Additional information regarding the committed bank credit facilities can be found in Note 9 of the Condensed Consolidated Financial Statements. The credit facilities include:</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0"/>
          <w:shd w:fill="FFFFFF" w:val="clear"/>
        </w:rPr>
        <w:t xml:space="preserve">A first-lien senior secured syndicated loan facility is available to the Company for general working capital requirements and capital expenditures. This revolving credit facility was amended during the period to increase the amount available from $475.0 million to </w:t>
      </w:r>
      <w:r>
        <w:rPr>
          <w:rFonts w:ascii="Times New Roman;sans-serif" w:hAnsi="Times New Roman;sans-serif"/>
          <w:b w:val="false"/>
          <w:color w:val="000000"/>
          <w:sz w:val="20"/>
        </w:rPr>
        <w:t>$500.0 million</w:t>
      </w:r>
      <w:r>
        <w:rPr>
          <w:color w:val="000000"/>
          <w:shd w:fill="FFFFFF" w:val="clear"/>
        </w:rPr>
        <w:t xml:space="preserve"> </w:t>
      </w:r>
      <w:r>
        <w:rPr>
          <w:rFonts w:ascii="Times New Roman;sans-serif" w:hAnsi="Times New Roman;sans-serif"/>
          <w:b w:val="false"/>
          <w:color w:val="000000"/>
          <w:sz w:val="20"/>
          <w:shd w:fill="FFFFFF" w:val="clear"/>
        </w:rPr>
        <w:t xml:space="preserve">and extend the maturity to April 21, 2026. </w:t>
      </w:r>
      <w:r>
        <w:rPr>
          <w:rFonts w:ascii="Times New Roman;sans-serif" w:hAnsi="Times New Roman;sans-serif"/>
          <w:b w:val="false"/>
          <w:color w:val="000000"/>
          <w:sz w:val="20"/>
        </w:rPr>
        <w:t>The maturity date remains April 21, 2025 for one lender representing $42.5 million of the facility commitment.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An unsecured line of credit committed until December 11, 2023, under which $180.0 million is available to our wholly owned subsidiary, StoneX Financial Inc. to provide short-term funding of margin to commodity exchanges as necessary.</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 xml:space="preserve">A syndicated borrowing facility committed until July 28, 2024, under which $400.0 million is available to our wholly owned subsidiary, StoneX Commodity Solutions LLC, to finance commodity financing arrangements and commodity repurchase agreements.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An unsecured syndicated loan facility committed until October 14, 2023, under which our subsidiary, StoneX Financial Ltd is entitled to borrow up to $75.0 million, subject to certain terms and conditions of the credit agreement. This facility is intended to provide short-term funding of margin to commodity exchanges as necessary.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facility agreements contain certain financial covenants relating to financial measures on a consolidated basis, as well as on a stand-alone basis for certain subsidiaries, including minimum tangible net worth, minimum regulatory capital, minimum net unencumbered liquid assets, maximum net loss, minimum fixed charge coverage ratio and maximum funded debt to net worth ratio. Failure to comply with any such covenants could result in the debt becoming payable on demand. As of June 30, 2023, we and our subsidiaries are in compliance with all of our financial covenants under the outstanding facilities.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required disclosure as part of our three-year syndicated revolving loan facility, during the trailing twelve months ended June 30, 2023, interest expense directly attributable to trading activities includes $418.0 million in connection with trading activities conducted as an institutional dealer in fixed income securities, and $34.3 million in connection with securities lending activities. </w:t>
      </w:r>
    </w:p>
    <w:p>
      <w:pPr>
        <w:pStyle w:val="TextBody"/>
        <w:bidi w:val="0"/>
        <w:spacing w:lineRule="auto" w:line="288" w:before="120" w:after="120"/>
        <w:jc w:val="left"/>
        <w:rPr/>
      </w:pPr>
      <w:r>
        <w:rPr>
          <w:rFonts w:ascii="Times New Roman;sans-serif" w:hAnsi="Times New Roman;sans-serif"/>
          <w:b w:val="false"/>
          <w:color w:val="000000"/>
          <w:sz w:val="20"/>
          <w:shd w:fill="FFFFFF" w:val="clear"/>
        </w:rPr>
        <w:t xml:space="preserve">As reflected above, certain of the Company’s committed </w:t>
      </w:r>
      <w:r>
        <w:rPr>
          <w:rFonts w:ascii="Times New Roman;sans-serif" w:hAnsi="Times New Roman;sans-serif"/>
          <w:b w:val="false"/>
          <w:color w:val="000000"/>
          <w:sz w:val="20"/>
        </w:rPr>
        <w:t>credit facilities are scheduled to expire during the next twelve months following the quarterly period ended June 30, 2023. The Company intends to renew or replace the other facilities as they expire, and based on the Company’s liquidity position and capital str</w:t>
      </w:r>
      <w:r>
        <w:rPr>
          <w:rFonts w:ascii="Times New Roman;sans-serif" w:hAnsi="Times New Roman;sans-serif"/>
          <w:b w:val="false"/>
          <w:color w:val="000000"/>
          <w:sz w:val="20"/>
          <w:shd w:fill="FFFFFF" w:val="clear"/>
        </w:rPr>
        <w:t>ucture, the Company believes it will be able to do so.</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Uncommitted Credit Facilities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access to certain uncommitted financing agreements that support our ordinary course securities and commodities inventories. The agreements are subject to certain borrowing terms and conditions. As of June 30, 2023 and September 30, 2022, the Company had $22.9 million and $0.0 million total borrowings outstanding under these uncommitted credit facilities,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Capital Considerations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activities are subject to various significant governmental regulations and capital adequacy requirements, both in the U.S. and in the international jurisdictions in which we operate. Our subsidiaries are in compliance with all of their capital regulatory requirements as of June 30, 2023. Additional information on our subsidiaries subject to significant net capital and minimum net capital requirements can be found in Note 16 of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subsidiary, StoneX Markets LLC (“StoneX Markets”), is a CFTC provisionally registered swap dealer, and under these capital rules is subject to a minimum regulatory capital requirement. StoneX Markets has elected to utilize the “bank-based” approach, as reflected in CFTC Rule 23.101(a)(1)(i) to calculate its capital requirements. Under the “bank-based” approach StoneX Markets must satisfy the following capital requirements: Common Equity Tier 1 (“CET1”) capital of at least $20 million; (ii) CET1 equal to at least 6.5% of its risk weighted assets (“RWA”); (iii) CET1, Additional Tier 1, and Tier 2 (collectively, total aggregate Bank Holding Company (“BHC”) capital) equal to at least 8% of its RWA; (iv) total aggregate BHC capital equal to 8% of its uncleared swap margin; and (v) the minimum capital required by NFA. Aggregate BHC capital and the related net capital requirement may fluctuate on a daily basis.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2016, CFTC 23.154, Calculation of Initial Margin rules came into effect, imposing new requirements on registered swap dealers and certain counterparties to exchange initial margin, with phased-in compliance dates, with StoneX Markets LLC falling in the final compliance date tier of September 2022.</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with this or other swap-related regulatory capital requirements may require us to devote more capital to these businesses or otherwise restructure our operations, such as by combining these businesses with other regulated subsidiaries that must also satisfy regulatory capital requirements. StoneX Markets LLC has faced, and may continue to face, increased costs due to the registration and regulatory requirements listed above, as may any other of our subsidiaries that may be required to register, or may register voluntarily, as a swap dealer and/or swap execution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include client cash and securities that meet the short-term requirement for cash classification to be segregated for regulatory purposes in our Condensed Consolidated Statements of Cash Flows. We hold a significant amount of U.S. Treasury obligations, which represent investments of client funds or client-owned investments pledged in lieu of cash margin. U.S. Treasury securities held with third-party banks or pledged with exchange-clearing organizations representing investments of client funds or which are held for particular clients in lieu of cash margin are included in the beginning and ending cash balances reconciled on our Condensed Consolidated Statements of Cash Flows to the extent that they have an original or acquired maturity of 90 days or less and, therefore, meet the definition of a segregated cash equivalent. Purchases and sales of U.S. Treasury securities representing investment of clients’ funds and U.S. Treasury securities pledged or redeemed by particular clients in lieu of cash margin are presented as operating uses and sources of cash, respectively, within the operating section of the consolidated statements of cash flows if they have an original or acquired maturity of greater than 90 days. Typically, there is an offsetting use or source of cash related to the change in the payables to clients. However, we will report a use of cash in periods where segregated U.S. Treasury securities that meet the aforementioned definition of a segregated cash equivalent mature and are replaced with U.S. Treasury securities that have original or acquired maturities that are greater than 90 days.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cash, segregated cash, cash equivalents, and segregated cash equivalents decreased by $506.5 million from $6,285.1 million as of September 30, 2022 to $5,778.6 million as of June 30, 2023. During the nine months ended June 30, 2023, net cash of $394.8 million was used in operating activities, $38.9 million was used in investing activities and net cash of $87.6 million was used in financing activities.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nine months ended June 30, 2023 included significant outflows from payables to lenders under 90 days of $37.7 million, net outflows from payables to lenders greater than 90 days of $35.0 million and payments of deferred acquisitions costs of $18.5 million. Also, we received $3.6 million related to employee stock option exercises.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broker-dealer and related trading industries, companies report trading activities in the operating section of the statement of cash flows. Due to the daily price volatility in the commodities market, as well as changes in margin requirements, fluctuations in the balances of deposits held at various exchanges, marketable securities and client commodity accounts may occur from day-to-day. A use of cash, as calculated on the consolidated statement of cash flows, includes unrestricted cash transferred and pledged to the exchanges or guaranty funds. These funds are held in interest-bearing deposit accounts at the exchanges, and based on daily exchange requirements, may be withdrawn and returned to unrestricted cash. Additionally, within our unregulated OTC and foreign exchange operations, cash deposits received from clients are reflected as cash provided from operations. Subsequent transfer of these cash deposits to counterparties or exchanges to margin their open positions will be reflected as an operating use of cash to the extent the transfer occurs in a different period than the cash deposit was received.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and losses on open positions revalued at prevailing foreign currency exchange rates are included in trading revenue but have no direct impact on cash flow from operations. Similarly, gains and losses become realized when client transactions are liquidated, though they do not affect cash flow. To some extent, the amount of net deposits made by our clients in any given period is influenced by the impact of gains and losses on our client balances, such that clients may be required to post additional funds to maintain open positions or may choose to withdraw excess funds on open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continuously evaluate opportunities to expand our business. Investing activities included $32.8 million in capital expenditures for property and equipment during the nine months ended June 30, 2023 compared to $37.6 million during the prior year. Additionally, we expended $6.1 million of net cash on the Company’s acquisitions.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exchange rates increased our cash, segregated cash, cash equivalents and segregated cash equivalents by $14.8 million.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23, 2022, our Board of Directors authorized the repurchase of up to 1.0 million shares of our outstanding common stock in open market purchases and private transactions, commencing on October 1, 2022 and ending on September 30, 2023. The repurchases are subject to the discretion of the senior management team to implement our stock repurchase plan, and subject to market conditions and as permitted by securities laws and other legal, regulatory and contractual requirements and covenants. </w:t>
      </w:r>
    </w:p>
    <w:p>
      <w:pPr>
        <w:pStyle w:val="TextBody"/>
        <w:bidi w:val="0"/>
        <w:spacing w:lineRule="auto" w:line="288" w:before="6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Apart from what has been disclosed above, there are no known trends, events or uncertainties that have had or are likely to have a material impact on our liquidity, financial condition and capital resources. Based upon our current operations, we believe that cash flows from operations, available cash and available borrowings under our credit facilities will be adequate to meet our future liquidity needs for the following year. Any projections of future earnings and cash flows are subject to substantial uncertainty. We may need to access debt and equity markets in the future if unforeseen costs or opportunities arise, to meet working capital requirements, fund acquisitions or investments or repay our indebtedness under credit facilities. If we need to obtain new debt or equity financing in the future, the terms and availability of such financing may be impacted by economic and financial market conditions, as well as our financial condition and results of operations at the time we seek additional financing.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p>
      <w:pPr>
        <w:pStyle w:val="TextBody"/>
        <w:bidi w:val="0"/>
        <w:spacing w:lineRule="auto" w:line="288" w:before="1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our commitments and contingent liabilities is contained in Note 11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Off Balance Sheet Arrangements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certain financial instruments with off-balance sheet risk in the normal course of business as a registered securities broker-dealer, futures commission merchant, U.K. based financial services firm, provisionally registered swap dealer and from our market-making and proprietary trading in the foreign exchange and commodities and debt securities markets. These financial instruments include futures, forward and foreign exchange contracts, exchange-traded and OTC options, To Be Announced (“TBA”) securities and interest rate swaps. Derivative financial instruments involve varying degrees of off-balance sheet market risk whereby changes in the fair values of underlying financial instruments may result in changes in the fair value of the financial instruments in excess of the amounts reflected in the Condensed Consolidated Balance Sheets. Exposure to market risk is influenced by a number of factors, including the relationships between the financial instruments and our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We attempt to manage our exposure to market risk through various techniques. Aggregate market limits have been established and market risk measures are routinely monitored against these limits. Derivative contracts are traded along with cash transactions because of the integrated nature of the markets for such products. We manage the risks associated with derivatives on an aggregate basis along with the risks associated with our proprietary trading and market-making activities in cash instruments as part of our firm-wide risk management policies.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these instruments are primarily the execution of orders for commodity futures and options on futures contracts on behalf of our clients, substantially all of which are transacted on a margin basis. Such transactions may expose us to significant credit risk in the event margin requirements are not sufficient to fully cover losses which clients may incur. We control the risks associated with these transactions by requiring clients to maintain margin deposits in compliance with both clearing organization requirements and internal guidelines. We monitor required margin levels daily and, therefore, may require clients to deposit additional collateral or reduce positions when necessary. We also establish contract limits for clients, which are monitored daily. We evaluate each client’s creditworthiness on a case-by-case basis. Clearing, financing, and settlement activities may require us to maintain funds with or pledge securities as collateral with other financial institutions. Generally, these exposures to exchanges are subject to netting of open positions and collateral, while exposures to clients are subject to netting, per the terms of the client agreements, which reduce the exposure to us by permitting receivables and payables with such clients to be offset in the event of a client default. Management believes that the margin deposits held as of June 30, 2023 are adequate to minimize the risk of material loss that could be created by positions held at that time. Additionally, we monitor collateral fair value on a daily basis and adjust collateral levels in the event of excess market exposure. Generally, these exposures to both counterparties and clients are subject to master netting agreements and the terms of the client agreements, which reduce our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a broker-dealer in U.S. Treasury obligations, U.S. government agency obligations, agency mortgage-backed obligations, and asset-backed obligations, we are engaged in various securities trading, borrowing and lending activities serving solely institutional counterparties. Our exposure to credit risk associated with the nonperformance of counterparties in fulfilling their contractual obligations pursuant to these securities transactions and market risk associated with the sale of securities not yet purchased can be directly impacted by volatile trading markets which may impair their ability to satisfy outstanding obligations to us. In the event of non-performance and unfavorable market price movements, we may be required to purchase or sell financial instruments, which may result in a loss to us.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transact OTC and foreign exchange contracts with our clients, and our OTC and foreign exchange trade desks will generally offset the client’s transaction simultaneously with one of our trading counterparties or will offset that transaction with a similar, but not identical, position on the exchange. These unmatched transactions are intended to be short-term in nature and are conducted to facilitate the most effective transaction for our client.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hold options and futures on options contracts resulting from market-making and proprietary trading activities in these product lines. We assist clients in our commodities trading business to protect the value of their future production (precious or base metals) by selling them put options on an OTC basis. We also provide our physical commodities trading business clients with sophisticated option products, including combinations of buying and selling puts and calls. We mitigate our risk by effecting offsetting options with market counterparties or through the purchase or sale of exchange-traded commodities futures. The risk mitigation of offsetting options is not within the documented hedging designation requirements of the Derivatives and Hedging Topic of the ASC.</w:t>
      </w:r>
    </w:p>
    <w:p>
      <w:pPr>
        <w:pStyle w:val="TextBody"/>
        <w:bidi w:val="0"/>
        <w:spacing w:lineRule="auto" w:line="288" w:before="120" w:after="120"/>
        <w:jc w:val="left"/>
        <w:rPr/>
      </w:pPr>
      <w:r>
        <w:rPr>
          <w:rFonts w:ascii="Times New Roman;sans-serif" w:hAnsi="Times New Roman;sans-serif"/>
          <w:b w:val="false"/>
          <w:color w:val="000000"/>
          <w:sz w:val="20"/>
        </w:rPr>
        <w:t xml:space="preserve">As part of the activities discussed above, we carry short positions. We sell financial instruments that we do not own, borrow the financial instruments to make good delivery, and therefore are obliged to purchase such financial instruments at a future date in order to return the borrowed financial instruments. We record these obligations in the condensed consolidated financial statements as of June 30, 2023 and September 30, 2022, at fair value of the related financial instruments, totaling $2,696.2 million and $2,469.6 million, respectively. These positions are held to offset the risks related to financial assets owned, and reported in our Condensed Consolidated Balance Sheets in </w:t>
      </w:r>
      <w:r>
        <w:rPr>
          <w:rFonts w:ascii="Times New Roman;sans-serif" w:hAnsi="Times New Roman;sans-serif"/>
          <w:b w:val="false"/>
          <w:i/>
          <w:color w:val="000000"/>
          <w:sz w:val="20"/>
        </w:rPr>
        <w:t>Financial instruments owned, at fair value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Physical commodities inventory, net</w:t>
      </w:r>
      <w:r>
        <w:rPr>
          <w:rFonts w:ascii="Times New Roman;sans-serif" w:hAnsi="Times New Roman;sans-serif"/>
          <w:b w:val="false"/>
          <w:color w:val="000000"/>
          <w:sz w:val="20"/>
        </w:rPr>
        <w:t>. We will incur losses if the fair value of the financial instruments sold, not yet purchased, increases subsequent to June 30, 2023, which might be partially or wholly offset by gains in the value of assets held as of June 30, 2023. The totals of $2,696.2 million and $2,469.6 million include a net liability of $406.6 million and $384.0 million for derivative contracts, including those designated as hedges, based on their fair value as of June 30, 2023 and September 30, 2022, respectively.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anticipate non-performance by counterparties in the above situations. We have a policy of reviewing the credit standing of each counterparty with which we conduct business. We have credit guidelines that limit our current and potential credit exposure to any one counterparty. We administer limits, monitor credit exposure, and periodically review the financial soundness of counterparties. We manage the credit exposure relating to our trading activities in various ways, including entering into collateral arrangements and limiting the duration of exposure. Risk is mitigated in certain cases by closing out transactions and entering into risk reducing transactions.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 member of various exchanges that trade and clear futures and option contracts. We are also a member of and provide guaranties to securities clearinghouses and exchanges in connection with client trading activities. Associated with our memberships, we may be required to pay a proportionate share of the financial obligations of another member who may default on its obligations to the exchanges. While the rules governing different exchange memberships vary, in general our guaranty obligations would arise only if the exchange had previously exhausted its resources. In addition, any such guaranty obligation would be apportioned among the other non-defaulting members of the exchange. Our liability under these arrangements is not quantifiable and could exceed the cash and securities we have posted as collateral at the exchanges. However, management believes that the potential for us to be required to make payments under these arrangements is remote. Accordingly, no contingent liability for these arrangements has been recorded in the Condensed Consolidated Balance Sheets as of June 30, 2023 and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Effects of Inflation</w:t>
      </w:r>
    </w:p>
    <w:p>
      <w:pPr>
        <w:pStyle w:val="TextBody"/>
        <w:bidi w:val="0"/>
        <w:spacing w:lineRule="auto" w:line="288" w:before="12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Increases in our expenses, such as compensation and benefits, transaction-based clearing expenses, occupancy and equipment rental, may result from inflation, while we may not be readily recoverable from increasing the prices of our services. Rising interest rates are generally favorable for us, to the extent that inflation has other adverse effects on the financial markets and on the value of the financial instruments held in inventory, it may adversely affect our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See our critical accounting policies discussed in the Management’s Discussion and Analysis of the most recent Annual Report filed on Form 10-K. There have been no material changes to these policies.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Other Accounting Policies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Note 1 to the Consolidated Financial Statements included within the most recent Annual Report filed on Form 10-K includes our significant accounting policies. There have been no material changes to these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Accounting Development Updates</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also Note 4 to the condensed consolidated financial statements, ‘Financial Instruments with Off-Balance Sheet Risk and Concentrations of Credit Risk’.</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market-making and trading activities predominantly as a principal, which subjects our capital to significant risks. These risks include, but are not limited to, absolute and relative price movements, price volatility and changes in liquidity, over which we have virtually no control. Our exposure to market risk varies in accordance with the volume of client-driven market-making transactions, the size of the proprietary positions and the volatility of the financial instruments traded.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seek to mitigate exposure to market risk by utilizing a variety of qualitative and quantitative techniques: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Diversification of business activities and instruments;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Limitations on positions;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Allocation of capital and limits based on estimated weighted risks;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Daily monitoring of positions and mark-to-market profitability.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utilize derivative products in a trading capacity as a dealer to satisfy client needs and mitigate risk. We manage risks from both derivatives and non-derivative cash instruments on a consolidated basis. The risks of derivatives should not be viewed in isolation, but in aggregate with our other trading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in connection with our retail trading activities. Because we act as counterparty to our retail clients’ transactions, we are exposed to risk on each trade that the value of our position will decline. Accordingly, accurate and efficient management of our net exposure is a high priority, and we have developed policies addressing both our automated and manual procedures to manage our exposure. These risk-management policies and procedures are established and reviewed regularly by the Risk Committee of our Board of Directors. Our risk-management policies require quantitative analyses by instrument, as well as assessment of a range of market inputs, including trade size, dealing rate, client margin and market liquidity. Our risk-management procedures require our team of senior traders to monitor risk exposure on a continuous basis and update senior management both informally over the course of the trading day and formally through intraday and end of day reporting. A key component of our approach to managing market risk is that we do not initiate market positions for our own account in anticipation of future movements in the relative prices of products we offer.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volatility of revenues is a key indicator of the effectiveness of our risk management techniques. The graph below summarizes volatility of our daily revenue, determined on a marked-to-market basis, during the nine months ended June 30, 2023.</w:t>
      </w:r>
    </w:p>
    <w:p>
      <w:pPr>
        <w:pStyle w:val="TextBody"/>
        <w:bidi w:val="0"/>
        <w:spacing w:lineRule="auto" w:line="288" w:before="120" w:after="283"/>
        <w:jc w:val="left"/>
        <w:rPr/>
      </w:pPr>
      <w:r>
        <w:rPr/>
        <w:drawing>
          <wp:inline distT="0" distB="0" distL="0" distR="0">
            <wp:extent cx="6515100" cy="4886325"/>
            <wp:effectExtent l="0" t="0" r="0" b="0"/>
            <wp:docPr id="6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 descr=""/>
                    <pic:cNvPicPr>
                      <a:picLocks noChangeAspect="1" noChangeArrowheads="1"/>
                    </pic:cNvPicPr>
                  </pic:nvPicPr>
                  <pic:blipFill>
                    <a:blip r:embed="rId2"/>
                    <a:stretch>
                      <a:fillRect/>
                    </a:stretch>
                  </pic:blipFill>
                  <pic:spPr bwMode="auto">
                    <a:xfrm>
                      <a:off x="0" y="0"/>
                      <a:ext cx="6515100" cy="4886325"/>
                    </a:xfrm>
                    <a:prstGeom prst="rect">
                      <a:avLst/>
                    </a:prstGeom>
                  </pic:spPr>
                </pic:pic>
              </a:graphicData>
            </a:graphic>
          </wp:inline>
        </w:drawing>
      </w:r>
      <w:r>
        <w:rPr>
          <w:rFonts w:ascii="Times New Roman;sans-serif" w:hAnsi="Times New Roman;sans-serif"/>
          <w:b w:val="false"/>
          <w:color w:val="000000"/>
          <w:sz w:val="20"/>
        </w:rPr>
        <w:t>In our Securities market-making and trading activities, we maintain inventories of equity and debt securities. In our Commercial segment, our positions include physical commodities inventories, precious metals on lease, forwards, futures and options on futures, and OTC derivatives. Our commodity trading activities are managed as one consolidated book for each commodity encompassing both cash positions and derivative instruments. We monitor the aggregate position for each commodity in equivalent physical ounces, metric tons, or other relevant unit.</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operations, we have interest rate risk from the possibility that changes in interest rates will affect the values of financial instruments and impact interest income earned. Within our domestic institutional dealer in fixed income securities business, we maintain a significant amount of trading assets and liabilities which are sensitive to changes in interest rates. These trading activities primarily consist of securities trading in connection with U.S. Treasury, U.S. government agency, agency mortgage-backed and agency asset-backed obligations, as well as investment grade, high-yield, convertible and emerging markets debt securities. Derivative instruments, which consist of futures, TBA securities and forward settling transactions, are used to manage risk exposures in the trading inventory. We enter into TBA securities transactions for the sole purpose of managing risk associated with mortgage-backed securities. </w:t>
      </w:r>
    </w:p>
    <w:p>
      <w:pPr>
        <w:pStyle w:val="TextBody"/>
        <w:bidi w:val="0"/>
        <w:spacing w:lineRule="auto" w:line="288" w:before="120" w:after="283"/>
        <w:jc w:val="left"/>
        <w:rPr/>
      </w:pPr>
      <w:r>
        <w:rPr>
          <w:rFonts w:ascii="Times New Roman;sans-serif" w:hAnsi="Times New Roman;sans-serif"/>
          <w:b w:val="false"/>
          <w:color w:val="000000"/>
          <w:sz w:val="20"/>
        </w:rPr>
        <w:t>In addition, we generate interest income from the positive spread earned on client deposits. We typically invest in U.S. Treasury bills, notes, and obligations issued by government sponsored entities, reverse repurchase agreements involving U.S. Treasury bills and government obligations or AA-rated money market funds. In some instances, we maintain interest earning cash deposits with banks, clearing organizations and counterparties. We have an investment policy which establishes acceptable standards of credit quality and limits the amount of funds that can be invested within a particular fund, institution, clearing organization or counterparty. We estimate that as of June 30, 2023, an immediate 25 basis point decrease in short-term interest rates would result in approximately</w:t>
      </w:r>
      <w:r>
        <w:rPr>
          <w:color w:val="000000"/>
          <w:shd w:fill="FFFFFF" w:val="clear"/>
        </w:rPr>
        <w:t xml:space="preserve"> </w:t>
      </w:r>
      <w:r>
        <w:rPr>
          <w:rFonts w:ascii="Times New Roman;sans-serif" w:hAnsi="Times New Roman;sans-serif"/>
          <w:b w:val="false"/>
          <w:color w:val="000000"/>
          <w:sz w:val="20"/>
          <w:shd w:fill="FFFFFF" w:val="clear"/>
        </w:rPr>
        <w:t>$4.2 million</w:t>
      </w:r>
      <w:r>
        <w:rPr>
          <w:color w:val="000000"/>
        </w:rPr>
        <w:t xml:space="preserve"> </w:t>
      </w:r>
      <w:r>
        <w:rPr>
          <w:rFonts w:ascii="Times New Roman;sans-serif" w:hAnsi="Times New Roman;sans-serif"/>
          <w:b w:val="false"/>
          <w:color w:val="000000"/>
          <w:sz w:val="20"/>
        </w:rPr>
        <w:t>less in annual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manage interest expense using a combination of variable and fixed rate debt. The debt instruments are carried at their unpaid principal balance which approximates fair value. As of June 30, 2023, $422.6 million of outstanding principal debt was variable-rate debt. We are subject to earnings and liquidity risks for changes in the interest rate on this debt. As of June 30, 2023, $347.9 million of outstanding principal debt was fixed-rate long-term debt.</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Currency risk arises from the possibility that fluctuations in foreign exchange rates will impact the value of our earnings and assets. Entities that have assets and liabilities denominated in currencies other than the primary economic environment in which the entity operates are subject to remeasurement. Virtually all sales and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As a result, our results of operations and financial position are exposed to changing currency rates. We may consider entering into hedging transactions to mitigate our exposure to foreign currency exchange rates. These hedging transactions may not be successful.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this Form 10-Q, our management, including the Chief Executive Officer and Chief Financial Officer, evaluated the effectiveness of the design and operation of our disclosure controls and procedures (as such term is defined in Rules 13a-15(e) and 15d-15(e) under the Securities Exchange Act of 1934, as amended (the “Exchange Act”)) as of June 30, 2023. Our Chief Executive Officer and Chief Financial Officer have concluded that our disclosure controls and procedures were effective to provide reasonable assurance that their objectives were met as of June 30, 2023.</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limitations inherent in any internal control, such as the possibility of human error and the circumvention or overriding of controls. A control system, no matter how well conceived and operated, can provide only reasonable, not absolute, assurance that the objectives of the control system are met, and may not prevent or detect misstatements. As conditions change over time, so too may the effectiveness of internal controls. As a result, there can be no assurance that a control system will succeed in preventing all possible instances of error and fraud. Our disclosure controls and procedures are designed to provide reasonable assurance of achieving their objectives, and the conclusions our Chief Executive Officer and Chief Financial Officer are made at the “reasonable assurance” level.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controls over financial reporting during the quarter ended June 30,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certain legal proceedings to which we are currently a party, see Note 11, “Commitments and Contingencies” in the notes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other information set forth in this report, information regarding risks affecting us appears in Part I, Item 1A of our Annual Report on Form 10-K for the fiscal year ended September 30, 2022. These are not the only risks we face. Additional risks and uncertainties not currently known to us or that management currently considers to be non-material may in the future adversely affect our business, financial condition and operating results.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identified updates to certain of our existing risk factors, which have been restated below:</w:t>
      </w:r>
    </w:p>
    <w:p>
      <w:pPr>
        <w:pStyle w:val="TextBody"/>
        <w:bidi w:val="0"/>
        <w:spacing w:lineRule="auto" w:line="288" w:before="120" w:after="60"/>
        <w:jc w:val="both"/>
        <w:rPr/>
      </w:pPr>
      <w:r>
        <w:rPr>
          <w:rFonts w:ascii="Times New Roman;sans-serif" w:hAnsi="Times New Roman;sans-serif"/>
          <w:b/>
          <w:i/>
          <w:color w:val="000000"/>
          <w:sz w:val="20"/>
        </w:rPr>
        <w:t>We are subject to risk of default by financial institutions that hold our funds and our clients’ funds.</w:t>
      </w:r>
      <w:r>
        <w:rPr>
          <w:color w:val="000000"/>
        </w:rPr>
        <w:t xml:space="preserve">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deposits of our own funds and our clients' funds with banks and other financial institutions, including liquidity providers. Although we did not have any material deposits with any of the banks affected by the banking crisis (such as the closure of Silicon Valley Bank, receiverships of First Republic Bank and Signature Bank, and announced acquisition of Credit Suisse Group AG), we could experience losses on cash and investments holdings due to failures of financial institutions and other parties. If other banks and financial institutions enter receivership or become insolvent in the future in response to financial conditions affecting the banking system and financial markets, we might not be able to fully recover the assets we have deposited or deposited on our customers’ behalf since, in certain cases, we will be among the institution’s unsecured creditors. As a result, our business, financial condition and results of operations could be materially adversely affected by the loss of these funds.</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The success of our business depends on having access to significant liquidity. </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substantial cash to support our operating activities, including establishing and carrying substantial open positions for clients on futures exchanges and in the OTC derivatives markets by posting and maintaining margin or credit support for these positions. Although we collect margin or other deposits from our clients for these positions, significant adverse price movements can occur which will require us to post margin or other deposits on short notice, whether or not we are able to collect additional margin or credit support from our clients. We have systems in place to collect margin and other deposits from clients on a same-day basis, however, there can be no assurance that these facilities and systems will be enable us to obtain additional cash on a timely basis. As such, the Company is highly dependent on its lines of credit and other financing facilities in order to fund margin calls and other operating activities and the loss of access to these sources of financing could materially adversely affect our results of operations, financial condition and cash flows.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tightening of the credit markets could limit our ability to obtain external financing to fund our operations and capital expenditures if, and when, needed. For example, Signature Bank was a lender under certain of our credit facilities. Although we did not experience any adverse impact upon the receivership of Signature Bank, we could experience reduced access to liquidity due to failures of other financial institutions and other parties.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substantially and negatively impact our financial condition and ability to do business.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we identified the following additional risk factor:</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Our revenues, operational costs, regulatory compliance and client satisfaction could be adversely affected by the failure of a vendor or other third party to continue providing services to us.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vendors and other third-parties to provide us with services that are essential to our ability to provide clients with our products and services. These services range from core infrastructure, such as utilities, communications and web hosting services, to systems that allow us to execute and process transactions entered into by our clients.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these vendors or other third-parties suffer operations issues, including as a result of cyber attacks, and they are unable to continue to provide these services to us, we may be exposed to a variety of risks, including loss of revenue if our clients cannot trade with us, increased costs if we are required to employ alternative solutions and reputational harm.</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our vendors hold sensitive information on our behalf, including personally identifiable information relating to our clients. If this data were to be compromised, either as a result of a cyber attack or otherwise, we could be in breach of our obligations to our clients, as well as applicable data protections laws, which could materially adversely affect our results of operations and reputation.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 attacks directed at our vendors may also make us more vulnerable to being targeted for cyber attacks ourselves if the bad actors are able to obtain information relating to our company and / or systems.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one of our vendors experiences a cyberbreach of its own systems or has data that it holds misappropriated, we could be exposed to a number of additional risks, including: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a.heightened risk that we will not be able to comply with applicable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b.increased risk that external parties will be able to execute fraudulent transactions using our systems;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c.losses from fraudulent transactions, as well as potential liability for losses suffered by our clients;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d.increased operational costs to remediate the consequences of the external party’s security breach; and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e.reputational harm arising from the perception that our systems may not be secure.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operational issues or security breaches affecting our vendors may require us to take steps to protect the integrity of our own operational systems or to safeguard confidential information that we hold, including restricting the ability of our clients to trade or have access to their accounts. These actions could potentially diminish customer satisfaction and confidence in us, materially adversely affecting our results of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on January 31, 2023, we were notified by ION Group, one of our vendors which provides back office trade processing services relating to certain of our listed derivatives businesses, that it had experienced a cybersecurity incident, which rendered certain of its services inaccessible to us and its other clients. As a result of the incident, we imposed restrictions on clients of our UK subsidiary relating to the trading of listed derivatives. We are continuing to assess the impact of the ION incident.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widespread and expanding interconnectivity among financial institutions, clearing banks, CCPs, payment processors, financial technology companies, securities exchanges, clearing houses and other financial market infrastructures increases the risk that the disruption of an operational system involving one institution or entity, including due to a cyber attack, may cause industry-wide operational disruptions that could materially affect our ability to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program activity for the three months ended June 30, 2023 was as follows:</w:t>
      </w:r>
    </w:p>
    <w:tbl>
      <w:tblPr>
        <w:tblW w:w="10205" w:type="dxa"/>
        <w:jc w:val="left"/>
        <w:tblInd w:w="0" w:type="dxa"/>
        <w:tblLayout w:type="fixed"/>
        <w:tblCellMar>
          <w:top w:w="28" w:type="dxa"/>
          <w:left w:w="28" w:type="dxa"/>
          <w:bottom w:w="28" w:type="dxa"/>
          <w:right w:w="28" w:type="dxa"/>
        </w:tblCellMar>
      </w:tblPr>
      <w:tblGrid>
        <w:gridCol w:w="430"/>
        <w:gridCol w:w="378"/>
        <w:gridCol w:w="382"/>
        <w:gridCol w:w="488"/>
        <w:gridCol w:w="488"/>
        <w:gridCol w:w="490"/>
        <w:gridCol w:w="109"/>
        <w:gridCol w:w="109"/>
        <w:gridCol w:w="109"/>
        <w:gridCol w:w="343"/>
        <w:gridCol w:w="712"/>
        <w:gridCol w:w="194"/>
        <w:gridCol w:w="109"/>
        <w:gridCol w:w="109"/>
        <w:gridCol w:w="109"/>
        <w:gridCol w:w="839"/>
        <w:gridCol w:w="839"/>
        <w:gridCol w:w="842"/>
        <w:gridCol w:w="109"/>
        <w:gridCol w:w="109"/>
        <w:gridCol w:w="109"/>
        <w:gridCol w:w="967"/>
        <w:gridCol w:w="752"/>
        <w:gridCol w:w="1080"/>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Remaining to be Purchased Under the Program</w:t>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April 1, 2023 to April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 1, 2023 to May 31, 2023</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June 1, 2023 to June 30,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0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the company’s executive officers and directors have entered into Rule 10b5-1 trading arrangements periodically. Now, in accordance with the new disclosure requirement set forth in Item 408(a) of Regulation S-K, the following table discloses any officer (as defined in Rule 16a-1(f) under the Securities Exchange Act of 1934, as amended) or director who adopted a contract, instruction or written plan for the sale of securities of the company intended to satisfy the affirmative defense conditions of Rule 10b5-1(c) during the three months ended June 30, 2023.</w:t>
      </w:r>
    </w:p>
    <w:tbl>
      <w:tblPr>
        <w:tblW w:w="10205" w:type="dxa"/>
        <w:jc w:val="left"/>
        <w:tblInd w:w="0" w:type="dxa"/>
        <w:tblLayout w:type="fixed"/>
        <w:tblCellMar>
          <w:top w:w="28" w:type="dxa"/>
          <w:left w:w="28" w:type="dxa"/>
          <w:bottom w:w="28" w:type="dxa"/>
          <w:right w:w="28" w:type="dxa"/>
        </w:tblCellMar>
      </w:tblPr>
      <w:tblGrid>
        <w:gridCol w:w="551"/>
        <w:gridCol w:w="428"/>
        <w:gridCol w:w="355"/>
        <w:gridCol w:w="109"/>
        <w:gridCol w:w="109"/>
        <w:gridCol w:w="109"/>
        <w:gridCol w:w="529"/>
        <w:gridCol w:w="529"/>
        <w:gridCol w:w="498"/>
        <w:gridCol w:w="109"/>
        <w:gridCol w:w="109"/>
        <w:gridCol w:w="109"/>
        <w:gridCol w:w="311"/>
        <w:gridCol w:w="311"/>
        <w:gridCol w:w="313"/>
        <w:gridCol w:w="109"/>
        <w:gridCol w:w="109"/>
        <w:gridCol w:w="109"/>
        <w:gridCol w:w="378"/>
        <w:gridCol w:w="378"/>
        <w:gridCol w:w="380"/>
        <w:gridCol w:w="109"/>
        <w:gridCol w:w="109"/>
        <w:gridCol w:w="109"/>
        <w:gridCol w:w="599"/>
        <w:gridCol w:w="599"/>
        <w:gridCol w:w="601"/>
        <w:gridCol w:w="109"/>
        <w:gridCol w:w="109"/>
        <w:gridCol w:w="109"/>
        <w:gridCol w:w="527"/>
        <w:gridCol w:w="527"/>
        <w:gridCol w:w="756"/>
      </w:tblGrid>
      <w:tr>
        <w:trPr/>
        <w:tc>
          <w:tcPr>
            <w:tcW w:w="55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Adoption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Duration or 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Number of Securities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Trading Arrangement</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Eric Parthemore -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Rule 10b5-1 trading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Sales of shares</w:t>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above, no other officer or director adopted, modified or terminated a contract, instruction or written plan for the purchase or sale of securities of the company intended to satisfy the affirmative defense conditions of Rule 10b5-1(c) or a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25"/>
        <w:gridCol w:w="168"/>
        <w:gridCol w:w="170"/>
        <w:gridCol w:w="109"/>
        <w:gridCol w:w="109"/>
        <w:gridCol w:w="109"/>
        <w:gridCol w:w="2768"/>
        <w:gridCol w:w="2702"/>
        <w:gridCol w:w="3845"/>
      </w:tblGrid>
      <w:tr>
        <w:trPr/>
        <w:tc>
          <w:tcPr>
            <w:tcW w:w="2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seventhamendmenttocred.htm">
              <w:r>
                <w:rPr>
                  <w:rStyle w:val="InternetLink"/>
                  <w:rFonts w:ascii="Times New Roman;sans-serif" w:hAnsi="Times New Roman;sans-serif"/>
                  <w:b w:val="false"/>
                  <w:color w:val="0000FF"/>
                  <w:sz w:val="18"/>
                  <w:u w:val="single"/>
                </w:rPr>
                <w:t>Seventh Amendment dated June 30, 2023, to the Amended and Restated Credit Agreement, dated as of February 22, 2019 by and between StoneX Group Inc. (f/k/a INTL FCStone Inc.) as Borrower, the Lenders from time to time party thereto and Bank of America, N.A., as Administrative Agent (Annex A to the Seventh Amendment contains the Amended and Restated Credit Agreement, as amended by the Seventh Amendment thereto).</w:t>
              </w:r>
            </w:hyperlink>
            <w:r>
              <w:rPr>
                <w:rFonts w:ascii="Times New Roman;sans-serif" w:hAnsi="Times New Roman;sans-serif"/>
                <w:b w:val="false"/>
                <w:color w:val="000000"/>
                <w:sz w:val="18"/>
              </w:rPr>
              <w: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exhibit31106302023.htm">
              <w:r>
                <w:rPr>
                  <w:rStyle w:val="InternetLink"/>
                  <w:rFonts w:ascii="Times New Roman;sans-serif" w:hAnsi="Times New Roman;sans-serif"/>
                  <w:b w:val="false"/>
                  <w:color w:val="0000FF"/>
                  <w:sz w:val="18"/>
                  <w:u w:val="single"/>
                </w:rPr>
                <w:t>Certification of Chief Executive Officer, pursuant to Rule 13a—14(a).</w:t>
              </w:r>
            </w:hyperlink>
            <w:r>
              <w:rPr>
                <w:rFonts w:ascii="Times New Roman;sans-serif" w:hAnsi="Times New Roman;sans-serif"/>
                <w:b w:val="false"/>
                <w:color w:val="000000"/>
                <w:sz w:val="18"/>
              </w:rPr>
              <w: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exhibit31206302023.htm">
              <w:r>
                <w:rPr>
                  <w:rStyle w:val="InternetLink"/>
                  <w:rFonts w:ascii="Times New Roman;sans-serif" w:hAnsi="Times New Roman;sans-serif"/>
                  <w:b w:val="false"/>
                  <w:color w:val="0000FF"/>
                  <w:sz w:val="18"/>
                  <w:u w:val="single"/>
                </w:rPr>
                <w:t>Certification of Chief Financial Officer, pursuant to Rule 13a—14(a).</w:t>
              </w:r>
            </w:hyperlink>
            <w:r>
              <w:rPr>
                <w:rFonts w:ascii="Times New Roman;sans-serif" w:hAnsi="Times New Roman;sans-serif"/>
                <w:b w:val="false"/>
                <w:color w:val="000000"/>
                <w:sz w:val="18"/>
              </w:rPr>
              <w: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exhibit32106302023.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r>
              <w:rPr>
                <w:rFonts w:ascii="Times New Roman;sans-serif" w:hAnsi="Times New Roman;sans-serif"/>
                <w:b w:val="false"/>
                <w:color w:val="000000"/>
                <w:sz w:val="18"/>
              </w:rPr>
              <w: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exhibit32206302023.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r>
              <w:rPr>
                <w:rFonts w:ascii="Times New Roman;sans-serif" w:hAnsi="Times New Roman;sans-serif"/>
                <w:b w:val="false"/>
                <w:color w:val="000000"/>
                <w:sz w:val="18"/>
              </w:rPr>
              <w: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Filed as part of this report.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StoneX Group Inc.</w:t>
      </w:r>
    </w:p>
    <w:p>
      <w:pPr>
        <w:pStyle w:val="TextBody"/>
        <w:bidi w:val="0"/>
        <w:spacing w:lineRule="auto" w:line="288" w:before="0" w:after="0"/>
        <w:jc w:val="left"/>
        <w:rPr>
          <w:color w:val="000000"/>
        </w:rPr>
      </w:pPr>
      <w:r>
        <w:rPr>
          <w:color w:val="000000"/>
        </w:rPr>
        <w:t> </w:t>
      </w:r>
    </w:p>
    <w:tbl>
      <w:tblPr>
        <w:tblW w:w="462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674"/>
        <w:gridCol w:w="674"/>
        <w:gridCol w:w="67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M. O’Connor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 O’Connor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Dunaway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Dunaway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65.7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SEVENTH AMENDMENT TO CREDIT AGREEMENT AND</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AMENDMENT TO SECURITY AGREEMENT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June 30, 2023</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STONEX GROUP INC. (f/k/a INTL FCSTONE INC.),</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the Borrower,</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THE GUARANTORS PARTY HERETO,</w:t>
      </w:r>
    </w:p>
    <w:p>
      <w:pPr>
        <w:pStyle w:val="TextBody"/>
        <w:bidi w:val="0"/>
        <w:spacing w:lineRule="auto" w:line="240" w:before="0" w:after="0"/>
        <w:ind w:left="0" w:right="0" w:hanging="720"/>
        <w:jc w:val="center"/>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the Administrative Agent, the Swing Line Lender and the L/C Issuer,</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1440"/>
        <w:jc w:val="center"/>
        <w:rPr>
          <w:rFonts w:ascii="Times New Roman;sans-serif" w:hAnsi="Times New Roman;sans-serif"/>
          <w:b w:val="false"/>
          <w:color w:val="000000"/>
          <w:sz w:val="22"/>
        </w:rPr>
      </w:pPr>
      <w:r>
        <w:rPr>
          <w:rFonts w:ascii="Times New Roman;sans-serif" w:hAnsi="Times New Roman;sans-serif"/>
          <w:b w:val="false"/>
          <w:color w:val="000000"/>
          <w:sz w:val="22"/>
        </w:rPr>
        <w:t>THE OTHER LENDERS PARTY HERETO</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Arranged By:</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BOFA SECURITIES, INC.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CAPITAL ONE, NATIONAL ASSOCIATION,</w:t>
      </w:r>
    </w:p>
    <w:p>
      <w:pPr>
        <w:pStyle w:val="TextBody"/>
        <w:bidi w:val="0"/>
        <w:spacing w:lineRule="auto" w:line="240"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as Joint Lead Arrangers and Joint Bookrunners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SEVENTH AMENDMENT TO CREDIT AGREEMENT</w: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AND AMENDMENT TO SECURITY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THIS SEVENTH AMENDMENT TO CREDIT AGREEMENT AND AMENDMENT TO SECURITY AGREEMENT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June 30, 2023 (the “</w:t>
      </w:r>
      <w:r>
        <w:rPr>
          <w:rFonts w:ascii="Times New Roman;sans-serif" w:hAnsi="Times New Roman;sans-serif"/>
          <w:b w:val="false"/>
          <w:color w:val="000000"/>
          <w:sz w:val="22"/>
          <w:u w:val="single"/>
        </w:rPr>
        <w:t>Seventh Amendment Effective Date</w:t>
      </w:r>
      <w:r>
        <w:rPr>
          <w:color w:val="000000"/>
        </w:rPr>
        <w:t>”</w:t>
      </w:r>
      <w:r>
        <w:rPr>
          <w:rFonts w:ascii="Times New Roman;sans-serif" w:hAnsi="Times New Roman;sans-serif"/>
          <w:b w:val="false"/>
          <w:color w:val="000000"/>
          <w:sz w:val="22"/>
        </w:rPr>
        <w:t>), is entered into among STONEX GROUP INC. (f/k/a INTL FCSTONE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Guarantors party hereto, the Lenders party hereto, and BANK OF AMERICA, N.A., as the Administrative Agent (in such capacity,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the Swing Line Lender and the L/C Issuer. Capitalized terms used herein and not otherwise defined shall have the meanings ascribed thereto in the Credit Agreement (as defined below).</w: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the Borrower, the Lenders from time to time party thereto and Bank of America, N.A., as the Administrative Agent, the Swing Line Lender and the L/C Issuer, are parties to that certain Amended and Restated Credit Agreement, dated as of February 22, 2019 (as amended or modified from time to time prior to the Seventh Amendment Effective Date,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the Loan Parties and Bank of America, N.A., as the Administrative Agent, are parties to that certain Amended and Restated Security and Pledge Agreement, dated as of February 22, 2019 (as amended or modified from time to time prior to the Seventh Amendment Effective Date, the “</w:t>
      </w:r>
      <w:r>
        <w:rPr>
          <w:rFonts w:ascii="Times New Roman;sans-serif" w:hAnsi="Times New Roman;sans-serif"/>
          <w:b w:val="false"/>
          <w:color w:val="000000"/>
          <w:sz w:val="22"/>
          <w:u w:val="single"/>
        </w:rPr>
        <w:t>Security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Borrower has requested that the Administrative Agent and the Lenders amend the Credit Agreement and the Security Agreement, in each case subject to the terms and conditions specified in this Amendment;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the Administrative Agent and the Lenders party hereto are willing to amend the Credit Agreement and the Security Agreement, in each case subject to the terms and conditions set forth below.</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agreements contained herein, and for other good and valuable consideration, the receipt and sufficiency of which is hereby acknowledged, the parties hereto agree as follows:</w: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AMENDMENT</w:t>
      </w:r>
    </w:p>
    <w:p>
      <w:pPr>
        <w:pStyle w:val="TextBody"/>
        <w:bidi w:val="0"/>
        <w:spacing w:lineRule="auto" w:line="240" w:before="0" w:after="240"/>
        <w:ind w:left="0" w:right="0" w:hanging="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Amendments to Loan Documents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Amendments to Credit Agreement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    The Credit Agreement (excluding the Schedules and Exhibits thereto, except as provided herein) is hereby amended and restated in its entirety as set forth in </w:t>
      </w:r>
      <w:r>
        <w:rPr>
          <w:rFonts w:ascii="Times New Roman;sans-serif" w:hAnsi="Times New Roman;sans-serif"/>
          <w:b w:val="false"/>
          <w:color w:val="000000"/>
          <w:sz w:val="22"/>
          <w:u w:val="single"/>
        </w:rPr>
        <w:t>Annex A</w:t>
      </w:r>
      <w:r>
        <w:rPr>
          <w:color w:val="000000"/>
        </w:rPr>
        <w:t xml:space="preserve"> </w:t>
      </w:r>
      <w:r>
        <w:rPr>
          <w:rFonts w:ascii="Times New Roman;sans-serif" w:hAnsi="Times New Roman;sans-serif"/>
          <w:b w:val="false"/>
          <w:color w:val="000000"/>
          <w:sz w:val="22"/>
        </w:rPr>
        <w:t>attached hereto (the Credit Agreement, as amended pursuant to this Amendment, the “</w:t>
      </w:r>
      <w:r>
        <w:rPr>
          <w:rFonts w:ascii="Times New Roman;sans-serif" w:hAnsi="Times New Roman;sans-serif"/>
          <w:b w:val="false"/>
          <w:color w:val="000000"/>
          <w:sz w:val="22"/>
          <w:u w:val="single"/>
        </w:rPr>
        <w:t>Amended Credit Agreement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    Schedule 6.13 of the Credit Agreement is amended and restated in its entirety in the form of </w:t>
      </w:r>
      <w:r>
        <w:rPr>
          <w:rFonts w:ascii="Times New Roman;sans-serif" w:hAnsi="Times New Roman;sans-serif"/>
          <w:b w:val="false"/>
          <w:color w:val="000000"/>
          <w:sz w:val="22"/>
          <w:u w:val="single"/>
        </w:rPr>
        <w:t>Schedule 6.13</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    Schedule 6.17 of the Credit Agreement is amended and restated in its entirety in the form of </w:t>
      </w:r>
      <w:r>
        <w:rPr>
          <w:rFonts w:ascii="Times New Roman;sans-serif" w:hAnsi="Times New Roman;sans-serif"/>
          <w:b w:val="false"/>
          <w:color w:val="000000"/>
          <w:sz w:val="22"/>
          <w:u w:val="single"/>
        </w:rPr>
        <w:t>Schedule 6.17</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    Schedule 6.20(a) of the Credit Agreement is amended and restated in its entirety in the form of </w:t>
      </w:r>
      <w:r>
        <w:rPr>
          <w:rFonts w:ascii="Times New Roman;sans-serif" w:hAnsi="Times New Roman;sans-serif"/>
          <w:b w:val="false"/>
          <w:color w:val="000000"/>
          <w:sz w:val="22"/>
          <w:u w:val="single"/>
        </w:rPr>
        <w:t>Schedule 6.20(a)</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    Schedule 6.20(b) of the Credit Agreement is amended and restated in its entirety in the form of </w:t>
      </w:r>
      <w:r>
        <w:rPr>
          <w:rFonts w:ascii="Times New Roman;sans-serif" w:hAnsi="Times New Roman;sans-serif"/>
          <w:b w:val="false"/>
          <w:color w:val="000000"/>
          <w:sz w:val="22"/>
          <w:u w:val="single"/>
        </w:rPr>
        <w:t>Schedule 6.20(b)</w:t>
      </w:r>
      <w:r>
        <w:rPr>
          <w:color w:val="000000"/>
        </w:rPr>
        <w:t xml:space="preserve"> </w:t>
      </w:r>
      <w:r>
        <w:rPr>
          <w:rFonts w:ascii="Times New Roman;sans-serif" w:hAnsi="Times New Roman;sans-serif"/>
          <w:b w:val="false"/>
          <w:color w:val="000000"/>
          <w:sz w:val="22"/>
        </w:rPr>
        <w:t>attached hereto.</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    Schedule 6.20(c) of the Credit Agreement is amended and restated in its entirety in the form of </w:t>
      </w:r>
      <w:r>
        <w:rPr>
          <w:rFonts w:ascii="Times New Roman;sans-serif" w:hAnsi="Times New Roman;sans-serif"/>
          <w:b w:val="false"/>
          <w:color w:val="000000"/>
          <w:sz w:val="22"/>
          <w:u w:val="single"/>
        </w:rPr>
        <w:t>Schedule 6.20(c)</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(vii)    Schedule 6.20(d) of the Credit Agreement is amended and restated in its entirety in the form of </w:t>
      </w:r>
      <w:r>
        <w:rPr>
          <w:rFonts w:ascii="Times New Roman;sans-serif" w:hAnsi="Times New Roman;sans-serif"/>
          <w:b w:val="false"/>
          <w:color w:val="000000"/>
          <w:sz w:val="22"/>
          <w:u w:val="single"/>
        </w:rPr>
        <w:t>Schedule 6.20(d)</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(viii)    Schedule 6.20(e) of the Credit Agreement is amended and restated in its entirety in the form of </w:t>
      </w:r>
      <w:r>
        <w:rPr>
          <w:rFonts w:ascii="Times New Roman;sans-serif" w:hAnsi="Times New Roman;sans-serif"/>
          <w:b w:val="false"/>
          <w:color w:val="000000"/>
          <w:sz w:val="22"/>
          <w:u w:val="single"/>
        </w:rPr>
        <w:t>Schedule 6.20(e)</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(ix)    Schedule 8.01 of the Credit Agreement is amended and restated in its entirety in the form of </w:t>
      </w:r>
      <w:r>
        <w:rPr>
          <w:rFonts w:ascii="Times New Roman;sans-serif" w:hAnsi="Times New Roman;sans-serif"/>
          <w:b w:val="false"/>
          <w:color w:val="000000"/>
          <w:sz w:val="22"/>
          <w:u w:val="single"/>
        </w:rPr>
        <w:t>Schedule 8.01</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    Schedule 8.02 of the Credit Agreement is amended and restated in its entirety in the form of </w:t>
      </w:r>
      <w:r>
        <w:rPr>
          <w:rFonts w:ascii="Times New Roman;sans-serif" w:hAnsi="Times New Roman;sans-serif"/>
          <w:b w:val="false"/>
          <w:color w:val="000000"/>
          <w:sz w:val="22"/>
          <w:u w:val="single"/>
        </w:rPr>
        <w:t>Schedule 8.02</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    Schedule 8.03 of the Credit Agreement is amended and restated in its entirety in the form of </w:t>
      </w:r>
      <w:r>
        <w:rPr>
          <w:rFonts w:ascii="Times New Roman;sans-serif" w:hAnsi="Times New Roman;sans-serif"/>
          <w:b w:val="false"/>
          <w:color w:val="000000"/>
          <w:sz w:val="22"/>
          <w:u w:val="single"/>
        </w:rPr>
        <w:t>Schedule 8.03</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(xii)    Schedule 8.09 of the Credit Agreement is amended and restated in its entirety in the form of </w:t>
      </w:r>
      <w:r>
        <w:rPr>
          <w:rFonts w:ascii="Times New Roman;sans-serif" w:hAnsi="Times New Roman;sans-serif"/>
          <w:b w:val="false"/>
          <w:color w:val="000000"/>
          <w:sz w:val="22"/>
          <w:u w:val="single"/>
        </w:rPr>
        <w:t>Schedule 8.09</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(xiii)    The Exhibits to the Credit Agreement are hereby amended and restated in their entirety as set forth in </w:t>
      </w:r>
      <w:r>
        <w:rPr>
          <w:rFonts w:ascii="Times New Roman;sans-serif" w:hAnsi="Times New Roman;sans-serif"/>
          <w:b w:val="false"/>
          <w:color w:val="000000"/>
          <w:sz w:val="22"/>
          <w:u w:val="single"/>
        </w:rPr>
        <w:t>Annex B</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Amendment to Security Agreement</w:t>
      </w:r>
      <w:r>
        <w:rPr>
          <w:rFonts w:ascii="Times New Roman;sans-serif" w:hAnsi="Times New Roman;sans-serif"/>
          <w:b w:val="false"/>
          <w:color w:val="000000"/>
          <w:sz w:val="22"/>
        </w:rPr>
        <w:t xml:space="preserve">. Schedule 1(a) of the Security Agreement is amended and restated in its entirety in the form of </w:t>
      </w:r>
      <w:r>
        <w:rPr>
          <w:rFonts w:ascii="Times New Roman;sans-serif" w:hAnsi="Times New Roman;sans-serif"/>
          <w:b w:val="false"/>
          <w:color w:val="000000"/>
          <w:sz w:val="22"/>
          <w:u w:val="single"/>
        </w:rPr>
        <w:t>Schedule 1(a)</w:t>
      </w:r>
      <w:r>
        <w:rPr>
          <w:color w:val="000000"/>
        </w:rPr>
        <w:t xml:space="preserve"> </w:t>
      </w:r>
      <w:r>
        <w:rPr>
          <w:rFonts w:ascii="Times New Roman;sans-serif" w:hAnsi="Times New Roman;sans-serif"/>
          <w:b w:val="false"/>
          <w:color w:val="000000"/>
          <w:sz w:val="22"/>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Effectiveness; Condition Precedent</w:t>
      </w:r>
      <w:r>
        <w:rPr>
          <w:rFonts w:ascii="Times New Roman;sans-serif" w:hAnsi="Times New Roman;sans-serif"/>
          <w:b w:val="false"/>
          <w:color w:val="000000"/>
          <w:sz w:val="22"/>
        </w:rPr>
        <w:t>. This Amendment shall be effective upon satisfaction of the following conditions precedent: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receipt by the Administrative Agent of copies of this Amendment duly executed by the Borrower, the Guarantors, the Lenders (other than the Non-Extending Lender (as defined in the Amended Credit Agreement)), the L/C Issuer, and the Swing Line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receipt by the Administrative Agent of favorable opinions of legal counsel to the Loan Parties, addressed to the Administrative Agent and each Lender, dated as of the Seventh Amendment Effective Date, and in form and substance satisfactory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receipt by the Administrative Agent of the following, in form and substance satisfactory to the Administrative Agent: (i) a certificate of a Responsible Officer of each Loan Party certifying that such Loan Party has not modified its Organization Documents since such documents were most recently delivered in connection with the Credit Agreement to the Administrative Agent, or if such documents have been modified, attaching and certifying copies of such modified Organization Documents, certified to be true and complete as of a recent date by the appropriate Governmental Authority of the state or other jurisdiction of its incorporation or organization, where applicable, and certified by such Responsible Officer of such Loan Party to be true and correct as of the Seventh Amendment Effective Date; (ii) 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Amendment, the Amended Credit Agreement and the other Loan Documents; and (iii) such documents and certifications as the Administrative Agent may reasonably require to evidence that each Loan Party is duly organized or formed, and is validly existing, in good standing and qualified to engage in business in its state of organization or 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2"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(d)    receipt by the Administrative Agent of a certificate signed by a Responsible Officer of the Borrower certifying that the conditions specified in </w:t>
      </w:r>
      <w:r>
        <w:rPr>
          <w:rFonts w:ascii="Times New Roman;sans-serif" w:hAnsi="Times New Roman;sans-serif"/>
          <w:b w:val="false"/>
          <w:color w:val="000000"/>
          <w:sz w:val="22"/>
          <w:u w:val="single"/>
        </w:rPr>
        <w:t>Section 6</w:t>
      </w:r>
      <w:r>
        <w:rPr>
          <w:color w:val="000000"/>
        </w:rPr>
        <w:t xml:space="preserve"> </w:t>
      </w:r>
      <w:r>
        <w:rPr>
          <w:rFonts w:ascii="Times New Roman;sans-serif" w:hAnsi="Times New Roman;sans-serif"/>
          <w:b w:val="false"/>
          <w:color w:val="000000"/>
          <w:sz w:val="22"/>
        </w:rPr>
        <w:t>have been satisfied;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(i) upon the request of any Lender made at least ten (10) days prior to the Seventh Amendment Effective Date, the Borrower shall have provided to such Lender (and such Lender shall be reasonably satisfied with) the documentation and other information so requested in connection with applicable “know your customer” and anti-money-laundering rules and regulations, including the PATRIOT Act, in each case at least five (5) days prior to the Seventh Amendment Effective Date and (ii) at least five (5) days prior to the Seventh Amendment Effective Date, if the Borrower qualifies as a “legal entity customer” under the Beneficial Ownership Regulation, the Borrower shall deliver, to each Lender that so requests, a Beneficial Ownership Certification;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receipt by the Administrative Agent of a fee for each Lender (other than the Non-Extending Lender) consenting to this Amendment in an amount equal to 0.10% of such Lender’s Revolving Commitment (after giving effect to this Amendment);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the Borrower shall have paid all fees required to be paid to the Administrative Agent and BofA Securities on or before the Seventh Amendment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The Loan Parties agree to reimburse the Administrative Agent for all reasonable documented out-of-pocket costs and expenses of the Administrative Agent in connection with the preparation, execution and delivery of this Amendment, including the reasonable documented fees and expenses of Moore &amp; Van Allen PLLC.</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Ratification of Loan Documents; References to the Credit Agreement; No Novation; No Impairment; Collateral Documents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Each Loan Party acknowledges and consents to the terms set forth herein and agrees that this Amendment does not impair, reduce or limit any of its obligations under the Loan Documents, as amended hereby. This Amendment is a Loan Document.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Except as expressly modified and amended in this Amendment, all of the terms, provisions and conditions of the Loan Documents shall remain unchanged and in full force and effect. The Loan Documents and any and all other documents heretofore, now or hereafter executed and delivered pursuant to the terms of the Credit Agreement are hereby amended so that any reference to the Credit Agreement shall mean a reference to the Amended Credit Agreement. The Amended Credit Agreement is not a novation of the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Except as expressly set forth herein, this Amendment shall not by implication or otherwise limit, impair, constitute a waiver of, or otherwise affect the rights and remedies of the Administrative Agent, any Lender, the L/C Issuer or the Swing Line Lender under the Credit Agreement or any other Loan Document, and shall not alter, modify, amend or in any way affect any of the terms, conditions, obligations, covenants or agreements contained in the Credit Agreement or any other Loan Document, all of which, as amended, supplemented or otherwise modified hereby, are ratified and affirmed in all respects and shall continue in full force and effect. Nothing herein shall be deemed to entitle any Loan Party to any further consent to, or a waiver, amendment, modification or other change of, any of the terms, conditions, obligations, covenants or agreements contained in the Credit Agreement or any other Loan Document in similar or different circumstances.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Each Loan Party (i) agrees that the Collateral Documents continue to be in full force and effect and are not impaired or adversely affected in any manner whatsoever as a result of execution and delivery of this Amendment, (ii) confirms its grant of security interests pursuant to the Collateral Documents to which it is a party as Collateral for the Obligations, and (iii) acknowledges that all Liens granted pursuant to the Collateral Documents remain and continue in full force and effect in respect of, and to secure, the Obligations.</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Authority/Enforceability</w:t>
      </w:r>
      <w:r>
        <w:rPr>
          <w:rFonts w:ascii="Times New Roman;sans-serif" w:hAnsi="Times New Roman;sans-serif"/>
          <w:b w:val="false"/>
          <w:color w:val="000000"/>
          <w:sz w:val="22"/>
        </w:rPr>
        <w:t>. Each Loan Party represents and warrants as follows: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It has taken all necessary action to authorize the execution and delivery of this Amendment and the performance of its obligations under this Amendment and the Amended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This Amendment has been duly executed and delivered by such Loan Party. Each of this Amendment and the Amended Credit Agreement constitutes its legal, valid and binding obligations, enforceable in accordance with its terms, except as such enforceability may be subject to (i) applicable Debtor Relief Laws and (ii) general principles of equity (regardless of whether such enforceability is considered in a proceeding at law or in equity).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No material consent, approval, authorization or order of, or filing, registration or qualification with, any court or Governmental Authority or third party is required in connection with the execution and delivery by such Loan Party of this Amendment, or the performance by such Loan Party of its obligations under this Amendment or the Amended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The execution and delivery of this Amendment does not (i) violate, contravene or conflict with any provision of its Organization Documents or (ii) materially violate, contravene or conflict with any Laws applicable to it.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Representations and Warranties of the Loan Parties</w:t>
      </w:r>
      <w:r>
        <w:rPr>
          <w:rFonts w:ascii="Times New Roman;sans-serif" w:hAnsi="Times New Roman;sans-serif"/>
          <w:b w:val="false"/>
          <w:color w:val="000000"/>
          <w:sz w:val="22"/>
        </w:rPr>
        <w:t>. Each Loan Party represents and warrants to the Lenders that, after giving effect to this Amendment, (a) the representations and warranties contained in Article VI of the Amended Credit Agreement, this Amendment or any other Loan Document, or which are contained in any document furnished at any time under or in connection herewith or therewith, shall be true and correct in all material respects (or in all respects, if such representation and warranty is already qualified by materiality or reference to Material Adverse Effect) on and as of the Seventh Amendment Effective Date, except to the extent that such representations and warranties specifically refer to an earlier date, in which case they shall be true and correct in all material respects (or in all respects, if such representation or and warranty is already qualified by materiality or reference to Material Adverse Effect) as of such earlier date, and (b) no event has occurred and is continuing which constitutes a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fax transmission or e-mail transmission (e.g., “pdf” or “tif”) shall be effective as delivery of a manually executed counterpart of this Amendment. Subject to Section 11.17 of the Credit Agreement, this Amendment may be in the form of an Electronic Record and may be executed using Electronic Signatures, including facsimile and .pdf, and shall be considered an original, and shall have the same legal effect, validity and enforceability as a paper record.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This Amendment shall be binding upon and inure to the benefit of the parties hereto and their respective successors and assigns.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headings of the sections hereof are provided for convenience only and shall not in any way affect the meaning or construction of any provision of this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If any provision of this Amendment is held to be illegal, invalid or unenforceable, (a) the legality, validity and enforceability of the remaining provisions of this Amendment shall not be affected or impaired thereby and (b) the parties shall endeavor in good faith negotiations to replace the illegal, invalid or unenforceable provisions with valid provisions the economic effect of which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comes as close as possible to that of the illegal, invalid or unenforceable provisions. The invalidity of a provision in a particular jurisdiction shall not invalidate or render unenforceable such provision in any other jurisdiction.</w:t>
      </w:r>
    </w:p>
    <w:p>
      <w:pPr>
        <w:pStyle w:val="TextBody"/>
        <w:bidi w:val="0"/>
        <w:spacing w:lineRule="auto" w:line="240"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pStyle w:val="TextBody"/>
        <w:bidi w:val="0"/>
        <w:spacing w:before="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parties hereto has caused a counterpart of this Amendment to be duly executed and delivered as of the date first above written.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BORROWER:            STONEX GROUP INC., (f/k/a INTL FCSTONE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Sean M. O'Connor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Sean M. O’Connor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President/Chief Executive Officer</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Kevin Murphy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Kevin Murphy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Group Treasurer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GUARANTORS:        STONEX BULLION INC. (f/k/a INTL FCSTONE ASSETS, INC.),</w:t>
      </w:r>
    </w:p>
    <w:p>
      <w:pPr>
        <w:pStyle w:val="TextBody"/>
        <w:bidi w:val="0"/>
        <w:spacing w:lineRule="auto" w:line="240" w:before="0" w:after="360"/>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a Florida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Sean M. O'Connor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Sean M. O’Connor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Executive Officer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STONEX COMMODITY SOLUTIONS LLC (f/k/a FCSTONE MERCHANT SERVICES, LLC),</w:t>
      </w:r>
    </w:p>
    <w:p>
      <w:pPr>
        <w:pStyle w:val="TextBody"/>
        <w:bidi w:val="0"/>
        <w:spacing w:lineRule="auto" w:line="240" w:before="0" w:after="36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William J. Dunaway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William J. Dunaway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FCSTONE GROUP, INC.,</w:t>
      </w:r>
    </w:p>
    <w:p>
      <w:pPr>
        <w:pStyle w:val="TextBody"/>
        <w:bidi w:val="0"/>
        <w:spacing w:lineRule="auto" w:line="240" w:before="0" w:after="36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William J. Dunaway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William J. Dunaway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STONEX TECHNOLOGY SERVICES LLC (f/k/a INTL TECHNOLOGY SERVICES, LLC),</w:t>
      </w:r>
    </w:p>
    <w:p>
      <w:pPr>
        <w:pStyle w:val="TextBody"/>
        <w:bidi w:val="0"/>
        <w:spacing w:lineRule="auto" w:line="240"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William J. Dunaway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William J. Dunaway</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25780"/>
                <wp:effectExtent l="0" t="0" r="0" b="0"/>
                <wp:wrapNone/>
                <wp:docPr id="76" name="Frame7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STONEX (NETHERLANDS) B.V. (f/k/a INTL FCSTONE (NETHERLANDS) BV),</w:t>
      </w:r>
    </w:p>
    <w:p>
      <w:pPr>
        <w:pStyle w:val="TextBody"/>
        <w:bidi w:val="0"/>
        <w:spacing w:lineRule="auto" w:line="240"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a private company with limited liability incorporated under the laws of the Netherlands</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William J. Dunaway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William J. Dunaway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GAIN CAPITAL HOLDINGS, INC.,</w:t>
      </w:r>
    </w:p>
    <w:p>
      <w:pPr>
        <w:pStyle w:val="TextBody"/>
        <w:bidi w:val="0"/>
        <w:spacing w:lineRule="auto" w:line="240" w:before="0" w:after="36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Glenn Stevens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Glenn Stevens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 &amp; CEO</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GAIN HOLDINGS, LLC,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Glenn Stevens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Glenn Stevens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Manager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GLOBAL FUTURES &amp; FOREX, LTD.,</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Michigan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Alexander Bobinski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Alexander Bobinski</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Manager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S.L. BRUCE FINANCIAL CORPORATION,</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 Ohio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Alexander Bobinski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Alexander Bobinski</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Manager</w:t>
      </w:r>
    </w:p>
    <w:p>
      <w:pPr>
        <w:pStyle w:val="TextBody"/>
        <w:bidi w:val="0"/>
        <w:spacing w:lineRule="auto" w:line="25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GCAM, LLC, </w:t>
      </w:r>
    </w:p>
    <w:p>
      <w:pPr>
        <w:pStyle w:val="TextBody"/>
        <w:bidi w:val="0"/>
        <w:spacing w:lineRule="auto" w:line="252" w:before="0" w:after="36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Glenn Stevens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Glenn Stevens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Manager</w:t>
      </w:r>
    </w:p>
    <w:p>
      <w:pPr>
        <w:pStyle w:val="TextBody"/>
        <w:bidi w:val="0"/>
        <w:spacing w:before="0" w:after="24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5780"/>
                <wp:effectExtent l="0" t="0" r="0" b="0"/>
                <wp:wrapNone/>
                <wp:docPr id="77" name="Frame7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5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GAIN CAPITAL HOLDINGS INTERNATIONAL, LLC, </w:t>
      </w:r>
    </w:p>
    <w:p>
      <w:pPr>
        <w:pStyle w:val="TextBody"/>
        <w:bidi w:val="0"/>
        <w:spacing w:lineRule="auto" w:line="252" w:before="0" w:after="36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Glenn Stevens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Glenn Stevens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Manager</w:t>
      </w:r>
    </w:p>
    <w:p>
      <w:pPr>
        <w:pStyle w:val="TextBody"/>
        <w:bidi w:val="0"/>
        <w:spacing w:lineRule="auto" w:line="25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STONEX PAYMENT SERVICES LTD, </w:t>
      </w:r>
    </w:p>
    <w:p>
      <w:pPr>
        <w:pStyle w:val="TextBody"/>
        <w:bidi w:val="0"/>
        <w:spacing w:lineRule="auto" w:line="252"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a Washington profit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William J. Dunaway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William J. Dunaway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25780"/>
                <wp:effectExtent l="0" t="0" r="0" b="0"/>
                <wp:wrapNone/>
                <wp:docPr id="78" name="Frame7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BANK OF AMERICA, N.A.,</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the Administrative Agent</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Kyle D. Harding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Kyle D. Harding</w:t>
      </w:r>
    </w:p>
    <w:p>
      <w:pPr>
        <w:pStyle w:val="TextBody"/>
        <w:bidi w:val="0"/>
        <w:spacing w:lineRule="auto" w:line="240" w:before="0" w:after="4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5780"/>
                <wp:effectExtent l="0" t="0" r="0" b="0"/>
                <wp:wrapNone/>
                <wp:docPr id="79" name="Frame7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LENDERS:            BANK OF AMERICA, N.A.,</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 the L/C Issuer and the Swing Line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Maryanne Fitzmaurice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Maryanne Fitzmaurice</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5780"/>
                <wp:effectExtent l="0" t="0" r="0" b="0"/>
                <wp:wrapNone/>
                <wp:docPr id="80" name="Frame7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BANK OF MONTREAL, CHICAGO BRANCH,</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Matthew Witt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Matthew Witt</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24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67360"/>
                <wp:effectExtent l="0" t="0" r="0" b="0"/>
                <wp:wrapNone/>
                <wp:docPr id="81" name="Frame80"/>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CAPITAL ONE, NATIONAL ASSOCIATION,</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Kelly Fournier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Kelly Fournier</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Duly Authorized Signatory</w:t>
      </w:r>
    </w:p>
    <w:p>
      <w:pPr>
        <w:pStyle w:val="TextBody"/>
        <w:bidi w:val="0"/>
        <w:spacing w:before="0" w:after="240"/>
        <w:jc w:val="both"/>
        <w:rPr/>
      </w:pPr>
      <w:r>
        <w:rPr/>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67360"/>
                <wp:effectExtent l="0" t="0" r="0" b="0"/>
                <wp:wrapNone/>
                <wp:docPr id="82" name="Frame81"/>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hanging="720"/>
        <w:jc w:val="both"/>
        <w:rPr/>
      </w:pPr>
      <w:r>
        <w:rPr/>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CIBC BANK USA,</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Morgan Donovan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Morgan Donovan</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before="0" w:after="240"/>
        <w:jc w:val="both"/>
        <w:rPr/>
      </w:pPr>
      <w:r>
        <w:rPr/>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67360"/>
                <wp:effectExtent l="0" t="0" r="0" b="0"/>
                <wp:wrapNone/>
                <wp:docPr id="83" name="Frame82"/>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BANKUNITED, N.A.,</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John S. Wamboldt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John S. Wamboldt</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SVP</w:t>
      </w:r>
    </w:p>
    <w:p>
      <w:pPr>
        <w:pStyle w:val="TextBody"/>
        <w:bidi w:val="0"/>
        <w:spacing w:before="0" w:after="240"/>
        <w:jc w:val="both"/>
        <w:rPr/>
      </w:pPr>
      <w:r>
        <w:rPr/>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67360"/>
                <wp:effectExtent l="0" t="0" r="0" b="0"/>
                <wp:wrapNone/>
                <wp:docPr id="84" name="Frame83"/>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ARVEST BANK,</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Kevin Rooney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Kevin Rooney</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p>
      <w:pPr>
        <w:pStyle w:val="TextBody"/>
        <w:bidi w:val="0"/>
        <w:spacing w:before="0" w:after="240"/>
        <w:jc w:val="both"/>
        <w:rPr/>
      </w:pPr>
      <w:r>
        <w:rPr/>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67360"/>
                <wp:effectExtent l="0" t="0" r="0" b="0"/>
                <wp:wrapNone/>
                <wp:docPr id="85" name="Frame84"/>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BANK OF HOPE,</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Manjula Jayasinghe</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Manjula Jayasinghe</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SVP, Corporate Banking</w:t>
      </w:r>
    </w:p>
    <w:p>
      <w:pPr>
        <w:pStyle w:val="TextBody"/>
        <w:bidi w:val="0"/>
        <w:spacing w:before="0" w:after="240"/>
        <w:jc w:val="both"/>
        <w:rPr/>
      </w:pPr>
      <w:r>
        <w:rPr/>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67360"/>
                <wp:effectExtent l="0" t="0" r="0" b="0"/>
                <wp:wrapNone/>
                <wp:docPr id="86" name="Frame85"/>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Jurgens Human</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Jurgens Human</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before="0" w:after="24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67360"/>
                <wp:effectExtent l="0" t="0" r="0" b="0"/>
                <wp:wrapNone/>
                <wp:docPr id="87" name="Frame86"/>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CADENCE BANK,</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Gaines Livingston</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Gaines Livingston</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before="0" w:after="24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67360"/>
                <wp:effectExtent l="0" t="0" r="0" b="0"/>
                <wp:wrapNone/>
                <wp:docPr id="88" name="Frame87"/>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WEBSTER BANK, NATIONAL ASSOCIATION,</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George S. Sims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George S. Sims    </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p>
      <w:pPr>
        <w:pStyle w:val="TextBody"/>
        <w:bidi w:val="0"/>
        <w:spacing w:before="0" w:after="24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67360"/>
                <wp:effectExtent l="0" t="0" r="0" b="0"/>
                <wp:wrapNone/>
                <wp:docPr id="89" name="Frame88"/>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PEAPACK GLADSTONE BANK,</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Frank H. D'Alto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Frank H. D'Alto</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Senior Managing Director</w:t>
      </w:r>
    </w:p>
    <w:p>
      <w:pPr>
        <w:pStyle w:val="TextBody"/>
        <w:bidi w:val="0"/>
        <w:spacing w:before="0" w:after="24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67360"/>
                <wp:effectExtent l="0" t="0" r="0" b="0"/>
                <wp:wrapNone/>
                <wp:docPr id="90" name="Frame89"/>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Angela Reilly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Angela Reilly</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p>
      <w:pPr>
        <w:pStyle w:val="TextBody"/>
        <w:bidi w:val="0"/>
        <w:spacing w:before="0" w:after="24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67360"/>
                <wp:effectExtent l="0" t="0" r="0" b="0"/>
                <wp:wrapNone/>
                <wp:docPr id="91" name="Frame90"/>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HUNTINGTON NATIONAL BANK,</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Josie Counts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Josie Counts</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240"/>
        <w:jc w:val="both"/>
        <w:rPr/>
      </w:pPr>
      <w:r>
        <w:rPr/>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67360"/>
                <wp:effectExtent l="0" t="0" r="0" b="0"/>
                <wp:wrapNone/>
                <wp:docPr id="92" name="Frame91"/>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NORTHTRUST BANK &amp; TRUST COMPANY, N.A.,</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Connor Huxtable</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Connor Huxtable</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240"/>
        <w:jc w:val="both"/>
        <w:rPr/>
      </w:pPr>
      <w:r>
        <w:rPr/>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67360"/>
                <wp:effectExtent l="0" t="0" r="0" b="0"/>
                <wp:wrapNone/>
                <wp:docPr id="93" name="Frame92"/>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TRISTATE CAPITAL BANK,</w:t>
      </w:r>
    </w:p>
    <w:p>
      <w:pPr>
        <w:pStyle w:val="TextBody"/>
        <w:bidi w:val="0"/>
        <w:spacing w:lineRule="auto" w:line="240" w:before="0" w:after="36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40" w:before="0" w:after="0"/>
        <w:ind w:left="0" w:right="0" w:hanging="720"/>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Ellen Frank            </w:t>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Name:    Ellen Frank</w:t>
      </w:r>
    </w:p>
    <w:p>
      <w:pPr>
        <w:pStyle w:val="TextBody"/>
        <w:bidi w:val="0"/>
        <w:spacing w:lineRule="auto" w:line="240"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67360"/>
                <wp:effectExtent l="0" t="0" r="0" b="0"/>
                <wp:wrapNone/>
                <wp:docPr id="94" name="Frame93"/>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STONEX GROUP INC.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SEVENTH AMENDMENT TO CREDIT AGREEMENT</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AND AMENDMENT TO SECURITY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Annex A</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Amended Credit Agreement</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CHAR1\2007966v3</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AMENDED AND RESTATED CREDIT AGREEMENT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February 22, 2019</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STONEX GROUP INC. (f/k/a INTL FCSTONE INC.),</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the Borrower,</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the Administrative Agent, the Swing Line Lender and the L/C Issuer,</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1440"/>
        <w:jc w:val="center"/>
        <w:rPr>
          <w:rFonts w:ascii="Times New Roman;sans-serif" w:hAnsi="Times New Roman;sans-serif"/>
          <w:b w:val="false"/>
          <w:color w:val="000000"/>
          <w:sz w:val="22"/>
        </w:rPr>
      </w:pPr>
      <w:r>
        <w:rPr>
          <w:rFonts w:ascii="Times New Roman;sans-serif" w:hAnsi="Times New Roman;sans-serif"/>
          <w:b w:val="false"/>
          <w:color w:val="000000"/>
          <w:sz w:val="22"/>
        </w:rPr>
        <w:t>THE OTHER LENDERS PARTY HERETO</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Arranged By:</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BOFA SECURITIES, INC.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CAPITAL ONE, NATIONAL ASSOCIATION,</w:t>
      </w:r>
    </w:p>
    <w:p>
      <w:pPr>
        <w:pStyle w:val="TextBody"/>
        <w:bidi w:val="0"/>
        <w:spacing w:lineRule="auto" w:line="240"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as Joint Lead Arrangers and Joint Bookrunners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tbl>
      <w:tblPr>
        <w:tblW w:w="8940" w:type="dxa"/>
        <w:jc w:val="left"/>
        <w:tblInd w:w="0" w:type="dxa"/>
        <w:tblLayout w:type="fixed"/>
        <w:tblCellMar>
          <w:top w:w="28" w:type="dxa"/>
          <w:left w:w="28" w:type="dxa"/>
          <w:bottom w:w="28" w:type="dxa"/>
          <w:right w:w="28" w:type="dxa"/>
        </w:tblCellMar>
      </w:tblPr>
      <w:tblGrid>
        <w:gridCol w:w="3096"/>
        <w:gridCol w:w="2721"/>
        <w:gridCol w:w="2732"/>
        <w:gridCol w:w="114"/>
        <w:gridCol w:w="114"/>
        <w:gridCol w:w="163"/>
      </w:tblGrid>
      <w:tr>
        <w:trPr/>
        <w:tc>
          <w:tcPr>
            <w:tcW w:w="3096"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I. DEFINITIONS AND ACCOUNTING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Defined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Other Interpretive Provisions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36</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Accounting Terms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37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Rounding</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39</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Times of Day; Rates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39</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Letter of Credit Amounts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40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II. THE COMMITMENTS AND CREDIT EXTENSIONS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40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Loans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40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Borrowings, Conversions and Continuations of Loans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45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Letters of Credit</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47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Swing Line Loans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55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Prepayments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58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Termination or Reduction of Commitments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59</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Repayment of Loans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Interest</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2.09</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Fees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61</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2.10</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Computation of Interest and Fees; Retroactive Adjustments of Applicable Rate</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61</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2.11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Evidence of Debt</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62</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2.12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Payments Generally; Administrative Agent’s Clawback</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62</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2.13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Sharing of Payments by Lenders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64</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2.14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Cash Collateral</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2.15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Defaulting Lenders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66</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2.16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Non-Extending Lender</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III. TAXES, YIELD PROTECTION AND ILLEGALITY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3.01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Taxes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68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3.02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Illegality</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3.03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Inability to Determine Rates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3.04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Increased Costs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76</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3.05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Compensation for Losses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3.06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Mitigation Obligations; Replacement of Lenders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3.07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[Reserved]</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3.08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Survival</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IV.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V. CONDITIONS PRECEDENT TO CREDIT EXTENSIONS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5.01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Conditions to Initial Credit Extension</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78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5.02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Conditions to all Credit Extensions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VI. REPRESENTATIONS AND WARRANTIES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6691" w:type="dxa"/>
        <w:jc w:val="left"/>
        <w:tblInd w:w="0" w:type="dxa"/>
        <w:tblLayout w:type="fixed"/>
        <w:tblCellMar>
          <w:top w:w="28" w:type="dxa"/>
          <w:left w:w="28" w:type="dxa"/>
          <w:bottom w:w="28" w:type="dxa"/>
          <w:right w:w="28" w:type="dxa"/>
        </w:tblCellMar>
      </w:tblPr>
      <w:tblGrid>
        <w:gridCol w:w="2285"/>
        <w:gridCol w:w="2005"/>
        <w:gridCol w:w="2010"/>
        <w:gridCol w:w="114"/>
        <w:gridCol w:w="114"/>
        <w:gridCol w:w="163"/>
      </w:tblGrid>
      <w:tr>
        <w:trPr/>
        <w:tc>
          <w:tcPr>
            <w:tcW w:w="2285"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Existence, Qualification and Power</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81</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Authorization; No Contravention</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81</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Governmental Authorization; Other Consents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82</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Binding Effect</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82</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Financial Statements; No Material Adverse Effect</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82</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Litigation</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82</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No Default</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Ownership of Property</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6.09</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Environmental Compliance</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6.10</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Insurance</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84</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Taxes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84</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ERISA Compliance</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84</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Subsidiaries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85</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Margin Regulations; Investment Company Act</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85</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Disclosure</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85</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Compliance with Laws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Intellectual Property; Licenses, Etc</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Solvency</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6.19</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Perfection of Security Interests in the Collateral</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6.20</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Business Locations; Taxpayer Identification Number</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6.21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Labor Matters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87</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6.22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OFAC; Anti-Corruption</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87</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6.23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Affected Financial Institution</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87</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6.24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Covered Entities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87</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6.25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Designated Senior Indebtedness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87</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VII. AFFIRMATIVE 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88</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Financial Statements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88</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Certificates; Other Information</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89</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Notices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90</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Payment of Taxes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91</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Preservation of Existence, Etc</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91</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Maintenance of Properties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91</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Maintenance of Insurance</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92</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Compliance with Laws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92</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7.09</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Books and Records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92</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7.10</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Inspection Rights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92</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7.11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Use of Proceeds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7.12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ERISA Compliance</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7.13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Additional Subsidiaries; Guarantee of Second Lien Debt</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7.14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Pledged Assets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94</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7.15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Anti-Corruption; Sanctions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14"/>
        <w:gridCol w:w="3081"/>
        <w:gridCol w:w="3097"/>
        <w:gridCol w:w="148"/>
        <w:gridCol w:w="148"/>
        <w:gridCol w:w="217"/>
      </w:tblGrid>
      <w:tr>
        <w:trPr/>
        <w:tc>
          <w:tcPr>
            <w:tcW w:w="3514"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VIII. NEGATIVE COVENANTS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Liens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Investments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Indebtedness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98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Fundamental Changes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Dispositions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Restricted Payments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Change in Nature of Business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Transactions with Affiliates and Insiders.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8.09</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Burdensome Agreements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8.10</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Use of Proceeds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8.11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Financial Covenants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8.12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Prepayment of Other Indebtedness, Etc.</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8.13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Organization Documents; Fiscal Year; Legal Name, State of Formation and Form of Entity</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8.14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Sale Leasebacks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8.15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Capital Expenditures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8.16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Sanctions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8.17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Anti-Corruption</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IX. EVENTS OF DEFAULT AND REMEDIES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9.01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Events of Default</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9.02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Remedies Upon Event of Default</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9.03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Application of Funds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X. ADMINISTRATIVE AGENT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Appointment and Authority</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Rights as a Lender</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Exculpatory Provisions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109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Reliance by Administrative Agent</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Delegation of Duties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Resignation of Administrative Agent</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Non-Reliance on Administrative Agent, Lead Arrangers and Other Lenders.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No Other Duties; Etc</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10.09</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Administrative Agent May File Proofs of Claim; Credit Bidding</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10.10</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Collateral and Guaranty Matters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10.11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Secured Cash Management Agreements and Secured Hedge Agreements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10.12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ERISA Matters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10.13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Recovery of Erroneous Payments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color w:val="0000FF"/>
                  <w:sz w:val="22"/>
                  <w:u w:val="single"/>
                </w:rPr>
                <w:t>Article XI. MISCELLANEOUS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Amendments, Etc</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Notices; Effectiveness; Electronic Communications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119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No Waiver; Cumulative Remedies; Enforcement</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121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8776" w:type="dxa"/>
        <w:jc w:val="left"/>
        <w:tblInd w:w="0" w:type="dxa"/>
        <w:tblLayout w:type="fixed"/>
        <w:tblCellMar>
          <w:top w:w="28" w:type="dxa"/>
          <w:left w:w="28" w:type="dxa"/>
          <w:bottom w:w="28" w:type="dxa"/>
          <w:right w:w="28" w:type="dxa"/>
        </w:tblCellMar>
      </w:tblPr>
      <w:tblGrid>
        <w:gridCol w:w="2997"/>
        <w:gridCol w:w="2629"/>
        <w:gridCol w:w="2639"/>
        <w:gridCol w:w="149"/>
        <w:gridCol w:w="149"/>
        <w:gridCol w:w="213"/>
      </w:tblGrid>
      <w:tr>
        <w:trPr/>
        <w:tc>
          <w:tcPr>
            <w:tcW w:w="2997"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Expenses; Indemnity; and Damage Waiver</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122</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Payments Set Aside</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124</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Successors and Assigns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124</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Treatment of Certain Information; Confidentiality</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130</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Set-off</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131</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11.09</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Interest Rate Limitation</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132</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11.10</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Integration; Effectiveness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132</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Survival of Representations and Warranties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132</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Severability</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132</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11.13</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Replacement of Lenders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133</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11.14</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Governing Law; Jurisdiction; Etc</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134</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11.15</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Waiver of Right to Trial by Jury</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135</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11.16</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No Advisory or Fiduciary Responsibility</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135</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11.17</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Electronic Execution; Electronic Records; Counterparts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135</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11.18</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USA PATRIOT Act Notice</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136</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11.19</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Release</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137</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11.20</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Acknowledgement and Consent to Bail-In of Affected Financial Institutions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137</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11.21</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Amendment and Restatement</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138</w:t>
              </w:r>
            </w:hyperlink>
          </w:p>
        </w:tc>
      </w:tr>
      <w:tr>
        <w:trPr/>
        <w:tc>
          <w:tcPr>
            <w:tcW w:w="82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color w:val="0000FF"/>
                  <w:sz w:val="22"/>
                  <w:u w:val="single"/>
                </w:rPr>
                <w:t>11.22</w:t>
              </w:r>
            </w:hyperlink>
            <w:hyperlink w:anchor="i509d1f5621fe486c93d356986f998ed5_7">
              <w:r>
                <w:rPr>
                  <w:rStyle w:val="InternetLink"/>
                  <w:strike w:val="false"/>
                  <w:dstrike w:val="false"/>
                  <w:color w:val="000000"/>
                  <w:u w:val="none"/>
                  <w:effect w:val="none"/>
                </w:rPr>
                <w:t>    </w:t>
              </w:r>
            </w:hyperlink>
            <w:hyperlink w:anchor="i509d1f5621fe486c93d356986f998ed5_7">
              <w:r>
                <w:rPr>
                  <w:rStyle w:val="InternetLink"/>
                  <w:rFonts w:ascii="Times New Roman;sans-serif" w:hAnsi="Times New Roman;sans-serif"/>
                  <w:b/>
                  <w:color w:val="0000FF"/>
                  <w:sz w:val="22"/>
                  <w:u w:val="single"/>
                </w:rPr>
                <w:t>Acknowledgement Regarding Any Supported QFCs</w:t>
              </w:r>
            </w:hyperlink>
            <w:hyperlink w:anchor="i509d1f5621fe486c93d356986f998ed5_7">
              <w:r>
                <w:rPr>
                  <w:rStyle w:val="InternetLink"/>
                  <w:rFonts w:ascii="Times New Roman;sans-serif" w:hAnsi="Times New Roman;sans-serif"/>
                  <w:b w:val="false"/>
                  <w:color w:val="0000FF"/>
                  <w:sz w:val="22"/>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09d1f5621fe486c93d356986f998ed5_7">
              <w:r>
                <w:rPr>
                  <w:rStyle w:val="InternetLink"/>
                  <w:rFonts w:ascii="Times New Roman;sans-serif" w:hAnsi="Times New Roman;sans-serif"/>
                  <w:b w:val="false"/>
                  <w:strike w:val="false"/>
                  <w:dstrike w:val="false"/>
                  <w:color w:val="000000"/>
                  <w:sz w:val="22"/>
                  <w:u w:val="none"/>
                  <w:effect w:val="none"/>
                </w:rPr>
                <w:t>138</w:t>
              </w:r>
            </w:hyperlink>
          </w:p>
        </w:tc>
      </w:tr>
    </w:tbl>
    <w:p>
      <w:pPr>
        <w:pStyle w:val="TextBody"/>
        <w:bidi w:val="0"/>
        <w:spacing w:before="0" w:after="120"/>
        <w:ind w:left="0" w:right="0" w:hanging="720"/>
        <w:jc w:val="left"/>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SCHEDULES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1.01(a)    Existing Letters of Credit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1.01(b)    Disqualified Institutions</w:t>
      </w:r>
    </w:p>
    <w:p>
      <w:pPr>
        <w:pStyle w:val="TextBody"/>
        <w:bidi w:val="0"/>
        <w:spacing w:lineRule="auto" w:line="240" w:before="0" w:after="0"/>
        <w:ind w:left="0" w:right="0" w:hanging="1440"/>
        <w:jc w:val="left"/>
        <w:rPr>
          <w:rFonts w:ascii="Times New Roman;sans-serif" w:hAnsi="Times New Roman;sans-serif"/>
          <w:b w:val="false"/>
          <w:color w:val="000000"/>
          <w:sz w:val="22"/>
        </w:rPr>
      </w:pPr>
      <w:r>
        <w:rPr>
          <w:rFonts w:ascii="Times New Roman;sans-serif" w:hAnsi="Times New Roman;sans-serif"/>
          <w:b w:val="false"/>
          <w:color w:val="000000"/>
          <w:sz w:val="22"/>
        </w:rPr>
        <w:t>2.01    Commitments and Applicable Percentages; L/C Commitments; Swing Line Commitment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6.10    Insurance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6.13    Subsidiaries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6.17    IP Rights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6.20(a)    Locations of Real Property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6.20(b)    Locations of Tangible Personal Property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6.20(c)    Location of Chief Executive Office, Taxpayer Identification Number, Etc.</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6.20(d)    Changes in Legal Name, State of Formation and Structure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6.20(e)    Deposit and Investment Accounts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8.01    Liens Existing on the Seventh Amendment Effective Date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8.02    Investments Existing on the Seventh Amendment Effective Date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8.03    Indebtedness Existing on the Seventh Amendment Effective Date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8.09    Burdensome Agreements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11.02    Certain Addresses for Notices</w:t>
      </w:r>
    </w:p>
    <w:p>
      <w:pPr>
        <w:pStyle w:val="TextBody"/>
        <w:bidi w:val="0"/>
        <w:spacing w:lineRule="auto" w:line="240" w:before="0" w:after="240"/>
        <w:jc w:val="both"/>
        <w:rPr>
          <w:rFonts w:ascii="Times New Roman;sans-serif" w:hAnsi="Times New Roman;sans-serif"/>
          <w:b/>
          <w:color w:val="000000"/>
          <w:sz w:val="22"/>
        </w:rPr>
      </w:pPr>
      <w:r>
        <w:rPr>
          <w:rFonts w:ascii="Times New Roman;sans-serif" w:hAnsi="Times New Roman;sans-serif"/>
          <w:b/>
          <w:color w:val="000000"/>
          <w:sz w:val="22"/>
        </w:rPr>
        <w:t>EXHIBITS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1.01    Form of Secured Party Designation Notice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2.02    Form of Loan Notice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2.04    Form of Swing Line Loan Notice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2.05    Form of Notice of Loan Prepayment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2.11(a)    Form of Note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3.01    Forms of U.S. Tax Compliance Certificates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7.02    Form of Compliance Certificate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7.13    Form of Joinder Agreement</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11.06(b)    Form of Assignment and Assumption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11.06(b)(iv)    Form of Administrative Questionnaire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AMENDED AND RESTATED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This AMENDED AND RESTATED CREDIT AGREEMENT is entered into as of February 22, 2019 among STONEX GROUP INC. (f/k/a INTL FCSTONE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(defined herein) and BANK OF AMERICA, N.A., as Administrative Agent, Swing Line Lender and L/C Issuer.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has requested that the Lenders provide a credit facility for the purposes set forth herein, and the Lenders are willing to do so on the terms and conditions set forth herein.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consideration of the mutual covenants and agreements herein contained, the parties hereto covenant and agree as follows:</w:t>
      </w:r>
    </w:p>
    <w:p>
      <w:pPr>
        <w:pStyle w:val="TextBody"/>
        <w:bidi w:val="0"/>
        <w:spacing w:lineRule="auto" w:line="240" w:before="0" w:after="240"/>
        <w:jc w:val="center"/>
        <w:rPr/>
      </w:pPr>
      <w:r>
        <w:rPr>
          <w:rFonts w:ascii="Times New Roman;sans-serif" w:hAnsi="Times New Roman;sans-serif"/>
          <w:b/>
          <w:color w:val="000000"/>
          <w:sz w:val="22"/>
        </w:rPr>
        <w:t>Article 1.</w:t>
      </w:r>
      <w:r>
        <w:rPr>
          <w:rFonts w:ascii="Times New Roman;sans-serif" w:hAnsi="Times New Roman;sans-serif"/>
          <w:b/>
          <w:color w:val="000000"/>
          <w:sz w:val="22"/>
        </w:rPr>
        <w:br/>
        <w:br/>
        <w:t>DEFINITIONS AND ACCOUNTING TERMS</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Defined Terms</w:t>
      </w:r>
      <w:r>
        <w:rPr>
          <w:rFonts w:ascii="Times New Roman;sans-serif" w:hAnsi="Times New Roman;sans-serif"/>
          <w:b/>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 used in this Agreement, the following terms shall have the meanings set forth below: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Acquisition</w:t>
      </w:r>
      <w:r>
        <w:rPr>
          <w:color w:val="000000"/>
        </w:rPr>
        <w:t>”</w:t>
      </w:r>
      <w:r>
        <w:rPr>
          <w:rFonts w:ascii="Times New Roman;sans-serif" w:hAnsi="Times New Roman;sans-serif"/>
          <w:b w:val="false"/>
          <w:color w:val="000000"/>
          <w:sz w:val="22"/>
        </w:rPr>
        <w:t>, by any Person, means the acquisition by such Person, in a single transaction or in a series of related transactions, of either (a) all or any substantial portion of the property of, or a line of business or division of, another Person or (b) at least a majority of the Voting Stock of another Person, in each case whether or not involving a merger or consolidation with such other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Bank of America in its capacity as administrative agent under any of the Loan Documents, or any successor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Agent’s Office</w:t>
      </w:r>
      <w:r>
        <w:rPr>
          <w:color w:val="000000"/>
        </w:rPr>
        <w:t xml:space="preserve">” </w:t>
      </w:r>
      <w:r>
        <w:rPr>
          <w:rFonts w:ascii="Times New Roman;sans-serif" w:hAnsi="Times New Roman;sans-serif"/>
          <w:b w:val="false"/>
          <w:color w:val="000000"/>
          <w:sz w:val="22"/>
        </w:rPr>
        <w:t xml:space="preserve">means the Administrative Agent’s address and, as appropriate, account as set forth on </w:t>
      </w:r>
      <w:r>
        <w:rPr>
          <w:rFonts w:ascii="Times New Roman;sans-serif" w:hAnsi="Times New Roman;sans-serif"/>
          <w:b w:val="false"/>
          <w:color w:val="000000"/>
          <w:sz w:val="22"/>
          <w:u w:val="single"/>
        </w:rPr>
        <w:t>Schedule 11.02</w:t>
      </w:r>
      <w:r>
        <w:rPr>
          <w:color w:val="000000"/>
        </w:rPr>
        <w:t xml:space="preserve"> </w:t>
      </w:r>
      <w:r>
        <w:rPr>
          <w:rFonts w:ascii="Times New Roman;sans-serif" w:hAnsi="Times New Roman;sans-serif"/>
          <w:b w:val="false"/>
          <w:color w:val="000000"/>
          <w:sz w:val="22"/>
        </w:rPr>
        <w:t>or such other address or account as the Administrative Agent may from time to time notify the Borrower and the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 xml:space="preserve">means an Administrative Questionnaire in substantially the form of </w:t>
      </w:r>
      <w:r>
        <w:rPr>
          <w:rFonts w:ascii="Times New Roman;sans-serif" w:hAnsi="Times New Roman;sans-serif"/>
          <w:b w:val="false"/>
          <w:color w:val="000000"/>
          <w:sz w:val="22"/>
          <w:u w:val="single"/>
        </w:rPr>
        <w:t>Exhibit 11.06(b)(iv)</w:t>
      </w:r>
      <w:r>
        <w:rPr>
          <w:color w:val="000000"/>
        </w:rPr>
        <w:t xml:space="preserve"> </w:t>
      </w:r>
      <w:r>
        <w:rPr>
          <w:rFonts w:ascii="Times New Roman;sans-serif" w:hAnsi="Times New Roman;sans-serif"/>
          <w:b w:val="false"/>
          <w:color w:val="000000"/>
          <w:sz w:val="22"/>
        </w:rPr>
        <w:t>or any other form approved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any Person, another Person that directly, or indirectly through one or more intermediaries, Controls or is Controlled by or is under common Control with the Person specified.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Agent Parties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11.02(c)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Aggregate Commitments</w:t>
      </w:r>
      <w:r>
        <w:rPr>
          <w:color w:val="000000"/>
        </w:rPr>
        <w:t xml:space="preserve">” </w:t>
      </w:r>
      <w:r>
        <w:rPr>
          <w:rFonts w:ascii="Times New Roman;sans-serif" w:hAnsi="Times New Roman;sans-serif"/>
          <w:b w:val="false"/>
          <w:color w:val="000000"/>
          <w:sz w:val="22"/>
        </w:rPr>
        <w:t>means, as of any date of determination, the aggregate Commitments of all of the Lenders as of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Aggregate Revolving Commitments</w:t>
      </w:r>
      <w:r>
        <w:rPr>
          <w:color w:val="000000"/>
        </w:rPr>
        <w:t xml:space="preserve">” </w:t>
      </w:r>
      <w:r>
        <w:rPr>
          <w:rFonts w:ascii="Times New Roman;sans-serif" w:hAnsi="Times New Roman;sans-serif"/>
          <w:b w:val="false"/>
          <w:color w:val="000000"/>
          <w:sz w:val="22"/>
        </w:rPr>
        <w:t>means the Revolving Commitments of all the Lenders. The amount of the Aggregate Revolving Commitments in effect on the Seventh Amendment Effective Date is $500,000,000.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means this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 xml:space="preserve">means: (a) with respect to the Aggregate Revolving Commitments, with respect to any Revolving Lender at any time, the percentage (carried out to the ninth decimal place) of the Aggregate Revolving Commitments represented by such Revolving Lender’s Revolving Commitment at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such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the Revolving Commitment of each Revolving Lender to make Revolving Loans and the obligation of the L/C Issuer to make L/C Credit Extensions have been terminated pursuant to </w:t>
      </w:r>
      <w:r>
        <w:rPr>
          <w:rFonts w:ascii="Times New Roman;sans-serif" w:hAnsi="Times New Roman;sans-serif"/>
          <w:b w:val="false"/>
          <w:color w:val="000000"/>
          <w:sz w:val="22"/>
          <w:u w:val="single"/>
        </w:rPr>
        <w:t>Section 9.02</w:t>
      </w:r>
      <w:r>
        <w:rPr>
          <w:color w:val="000000"/>
        </w:rPr>
        <w:t xml:space="preserve"> </w:t>
      </w:r>
      <w:r>
        <w:rPr>
          <w:rFonts w:ascii="Times New Roman;sans-serif" w:hAnsi="Times New Roman;sans-serif"/>
          <w:b w:val="false"/>
          <w:color w:val="000000"/>
          <w:sz w:val="22"/>
        </w:rPr>
        <w:t xml:space="preserve">or if the Aggregate Revolving Commitments have expired, then the Applicable Percentage of each Revolving Lender in respect of the Aggregate Revolving Commitments shall be determined based on the Applicable Percentage of such Revolving Lender most recently in effect, giving effect to any subsequent assignments; and (b) with respect of an Incremental Term Facility, with respect to any Incremental Term Lender under such Incremental Term Facility at any time, the percentage (carried out to the ninth decimal place) of such Incremental Term Facility represented by (i) at any time during the availability period in respect of such Incremental Term Facility, the sum of (A) such Incremental Term Lender’s unused Incremental Term Commitment for such Incremental Term Facility at such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outstanding principal amount of such Incremental Term Lender’s Incremental Term Loans under such Incremental Term Facility at such time (or, if the full amount of such Incremental Term Facility is to be funded on a single date, the Applicable Percentage of each Incremental Term Lender with respect to such Incremental Term Facility pursuant to this </w:t>
      </w:r>
      <w:r>
        <w:rPr>
          <w:rFonts w:ascii="Times New Roman;sans-serif" w:hAnsi="Times New Roman;sans-serif"/>
          <w:b w:val="false"/>
          <w:color w:val="000000"/>
          <w:sz w:val="22"/>
          <w:u w:val="single"/>
        </w:rPr>
        <w:t>clause (b)(i)</w:t>
      </w:r>
      <w:r>
        <w:rPr>
          <w:color w:val="000000"/>
        </w:rPr>
        <w:t xml:space="preserve"> </w:t>
      </w:r>
      <w:r>
        <w:rPr>
          <w:rFonts w:ascii="Times New Roman;sans-serif" w:hAnsi="Times New Roman;sans-serif"/>
          <w:b w:val="false"/>
          <w:color w:val="000000"/>
          <w:sz w:val="22"/>
        </w:rPr>
        <w:t xml:space="preserve">shall be, at any time prior to the funding of such Incremental Term Facility, such Incremental Term Lender’s Incremental Term Commitment for such Incremental Term Facility at such time), and (ii) at any time thereafter, the outstanding principal amount of such Incremental Term Lender’s Incremental Term Loans advanced in connection with such Incremental Term Facility at such time. The initial Applicable Percentage of each Lender is set forth opposite the name of such Lender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or in the Assignment and Assumption pursuant to which such Lender becomes a party hereto or in any document executed by such Lender pursuant to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 xml:space="preserve">, as applicable. The Applicable Percentages shall be subject to adjustment as provided in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Rate</w:t>
      </w:r>
      <w:r>
        <w:rPr>
          <w:color w:val="000000"/>
        </w:rPr>
        <w:t xml:space="preserve">” </w:t>
      </w:r>
      <w:r>
        <w:rPr>
          <w:rFonts w:ascii="Times New Roman;sans-serif" w:hAnsi="Times New Roman;sans-serif"/>
          <w:b w:val="false"/>
          <w:color w:val="000000"/>
          <w:sz w:val="22"/>
        </w:rPr>
        <w:t xml:space="preserve">means, (a) with respect to the Incremental Term Loans advanced in connection with any Incremental Term Facility, the percentage(s) per annum set forth in the Incremental Term Facility Agreement entered into in connection with such Incremental Term Facility, and (b) with respect to Revolving Loans, Swing Line Loans, Letter of Credit Fees and the Commitment Fees, the following percentages per annum, based upon the Consolidated Leverage Ratio as set forth in the most recent Compliance Certificate received by the Administrative Agent pursuant to </w:t>
      </w:r>
      <w:r>
        <w:rPr>
          <w:rFonts w:ascii="Times New Roman;sans-serif" w:hAnsi="Times New Roman;sans-serif"/>
          <w:b w:val="false"/>
          <w:color w:val="000000"/>
          <w:sz w:val="22"/>
          <w:u w:val="single"/>
        </w:rPr>
        <w:t>Section 7.02(a)</w:t>
      </w:r>
      <w:r>
        <w:rPr>
          <w:rFonts w:ascii="Times New Roman;sans-serif" w:hAnsi="Times New Roman;sans-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337"/>
        <w:gridCol w:w="295"/>
        <w:gridCol w:w="297"/>
        <w:gridCol w:w="615"/>
        <w:gridCol w:w="615"/>
        <w:gridCol w:w="616"/>
        <w:gridCol w:w="494"/>
        <w:gridCol w:w="494"/>
        <w:gridCol w:w="496"/>
        <w:gridCol w:w="415"/>
        <w:gridCol w:w="415"/>
        <w:gridCol w:w="416"/>
        <w:gridCol w:w="333"/>
        <w:gridCol w:w="333"/>
        <w:gridCol w:w="253"/>
        <w:gridCol w:w="903"/>
        <w:gridCol w:w="903"/>
        <w:gridCol w:w="906"/>
        <w:gridCol w:w="310"/>
        <w:gridCol w:w="310"/>
        <w:gridCol w:w="449"/>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92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Pricing Tier</w:t>
            </w:r>
          </w:p>
        </w:tc>
        <w:tc>
          <w:tcPr>
            <w:tcW w:w="1846"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Consolidated Leverage Ratio</w:t>
            </w:r>
          </w:p>
        </w:tc>
        <w:tc>
          <w:tcPr>
            <w:tcW w:w="148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Commitment Fees</w:t>
            </w:r>
          </w:p>
        </w:tc>
        <w:tc>
          <w:tcPr>
            <w:tcW w:w="2165"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Letter of Credit Fees</w:t>
            </w:r>
          </w:p>
        </w:tc>
        <w:tc>
          <w:tcPr>
            <w:tcW w:w="2712"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Term SOFR Loans / SOFR Daily Floating Rate Swing Line Loans</w:t>
            </w:r>
          </w:p>
        </w:tc>
        <w:tc>
          <w:tcPr>
            <w:tcW w:w="1069"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Base Rate Loans</w:t>
            </w:r>
          </w:p>
        </w:tc>
      </w:tr>
      <w:tr>
        <w:trPr/>
        <w:tc>
          <w:tcPr>
            <w:tcW w:w="92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846"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48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Commercial</w:t>
            </w:r>
          </w:p>
        </w:tc>
        <w:tc>
          <w:tcPr>
            <w:tcW w:w="9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Standby</w:t>
            </w:r>
          </w:p>
        </w:tc>
        <w:tc>
          <w:tcPr>
            <w:tcW w:w="2712"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1069"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c>
        <w:tc>
          <w:tcPr>
            <w:tcW w:w="18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0" w:after="40"/>
              <w:jc w:val="center"/>
              <w:rPr/>
            </w:pP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2.00 to 1.0</w:t>
            </w:r>
          </w:p>
        </w:tc>
        <w:tc>
          <w:tcPr>
            <w:tcW w:w="1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0.625%</w:t>
            </w:r>
          </w:p>
        </w:tc>
        <w:tc>
          <w:tcPr>
            <w:tcW w:w="1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9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3.00%</w:t>
            </w:r>
          </w:p>
        </w:tc>
        <w:tc>
          <w:tcPr>
            <w:tcW w:w="27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3.00%</w:t>
            </w:r>
          </w:p>
        </w:tc>
        <w:tc>
          <w:tcPr>
            <w:tcW w:w="10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r>
      <w:tr>
        <w:trPr/>
        <w:tc>
          <w:tcPr>
            <w:tcW w:w="92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c>
        <w:tc>
          <w:tcPr>
            <w:tcW w:w="18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0" w:after="40"/>
              <w:jc w:val="center"/>
              <w:rPr/>
            </w:pPr>
            <w:r>
              <w:rPr>
                <w:rFonts w:ascii="Times New Roman;sans-serif" w:hAnsi="Times New Roman;sans-serif"/>
                <w:b w:val="false"/>
                <w:color w:val="000000"/>
                <w:sz w:val="22"/>
              </w:rPr>
              <w:t>&lt; 2.00 to 1.0 but</w:t>
              <w:br/>
            </w:r>
            <w:r>
              <w:rPr>
                <w:rFonts w:ascii="Times New Roman;sans-serif" w:hAnsi="Times New Roman;sans-serif"/>
                <w:b w:val="false"/>
                <w:color w:val="000000"/>
                <w:sz w:val="22"/>
                <w:u w:val="single"/>
              </w:rPr>
              <w:t>&gt;</w:t>
            </w:r>
            <w:r>
              <w:rPr>
                <w:color w:val="000000"/>
              </w:rPr>
              <w:t xml:space="preserve"> </w:t>
            </w:r>
            <w:r>
              <w:rPr>
                <w:rFonts w:ascii="Times New Roman;sans-serif" w:hAnsi="Times New Roman;sans-serif"/>
                <w:b w:val="false"/>
                <w:color w:val="000000"/>
                <w:sz w:val="22"/>
              </w:rPr>
              <w:t>1.50 to 1.0</w:t>
            </w:r>
          </w:p>
        </w:tc>
        <w:tc>
          <w:tcPr>
            <w:tcW w:w="1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0.550%</w:t>
            </w:r>
          </w:p>
        </w:tc>
        <w:tc>
          <w:tcPr>
            <w:tcW w:w="12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9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2.50%</w:t>
            </w:r>
          </w:p>
        </w:tc>
        <w:tc>
          <w:tcPr>
            <w:tcW w:w="27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2.50%</w:t>
            </w:r>
          </w:p>
        </w:tc>
        <w:tc>
          <w:tcPr>
            <w:tcW w:w="106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r>
      <w:tr>
        <w:trPr/>
        <w:tc>
          <w:tcPr>
            <w:tcW w:w="92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c>
        <w:tc>
          <w:tcPr>
            <w:tcW w:w="18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&lt; 1.50 to 1.0</w:t>
            </w:r>
          </w:p>
        </w:tc>
        <w:tc>
          <w:tcPr>
            <w:tcW w:w="14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0.475%</w:t>
            </w:r>
          </w:p>
        </w:tc>
        <w:tc>
          <w:tcPr>
            <w:tcW w:w="12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9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27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06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p>
      <w:pPr>
        <w:pStyle w:val="TextBody"/>
        <w:bidi w:val="0"/>
        <w:spacing w:lineRule="auto" w:line="240" w:before="240" w:after="240"/>
        <w:jc w:val="both"/>
        <w:rPr/>
      </w:pPr>
      <w:r>
        <w:rPr>
          <w:rFonts w:ascii="Times New Roman;sans-serif" w:hAnsi="Times New Roman;sans-serif"/>
          <w:b w:val="false"/>
          <w:color w:val="000000"/>
          <w:sz w:val="22"/>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sans-serif" w:hAnsi="Times New Roman;sans-serif"/>
          <w:b w:val="false"/>
          <w:color w:val="000000"/>
          <w:sz w:val="22"/>
          <w:u w:val="single"/>
        </w:rPr>
        <w:t>Section 7.02(a)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a Compliance Certificate is not delivered when due in accordance with such Section, then, upon the request of the Required Lenders, Pricing Tier I shall apply as of the first Business Day after the date on which such Compliance Certificate was required to have been delivered and shall remain in effect until the first Business Day immediately following the date on which such Compliance Certificate is delivered in accordance with </w:t>
      </w:r>
      <w:r>
        <w:rPr>
          <w:rFonts w:ascii="Times New Roman;sans-serif" w:hAnsi="Times New Roman;sans-serif"/>
          <w:b w:val="false"/>
          <w:color w:val="000000"/>
          <w:sz w:val="22"/>
          <w:u w:val="single"/>
        </w:rPr>
        <w:t>Section 7.02(a)</w:t>
      </w:r>
      <w:r>
        <w:rPr>
          <w:rFonts w:ascii="Times New Roman;sans-serif" w:hAnsi="Times New Roman;sans-serif"/>
          <w:b w:val="false"/>
          <w:color w:val="000000"/>
          <w:sz w:val="22"/>
        </w:rPr>
        <w:t xml:space="preserve">, whereupon the Applicable Rate shall be adjusted based upon the calculation of the Consolidated Leverage Ratio contained in such Compliance Certificate. The Applicable Rate in effect from the Closing Date to the first Business Day immediately following the date a Compliance Certificate is delivered pursuant to </w:t>
      </w:r>
      <w:r>
        <w:rPr>
          <w:rFonts w:ascii="Times New Roman;sans-serif" w:hAnsi="Times New Roman;sans-serif"/>
          <w:b w:val="false"/>
          <w:color w:val="000000"/>
          <w:sz w:val="22"/>
          <w:u w:val="single"/>
        </w:rPr>
        <w:t>Section 7.02(a)</w:t>
      </w:r>
      <w:r>
        <w:rPr>
          <w:color w:val="000000"/>
        </w:rPr>
        <w:t xml:space="preserve"> </w:t>
      </w:r>
      <w:r>
        <w:rPr>
          <w:rFonts w:ascii="Times New Roman;sans-serif" w:hAnsi="Times New Roman;sans-serif"/>
          <w:b w:val="false"/>
          <w:color w:val="000000"/>
          <w:sz w:val="22"/>
        </w:rPr>
        <w:t xml:space="preserve">for the fiscal quarter ending March 31, 2022 shall be determined based upon Pricing Tier I. Notwithstanding anything to the contrary contained in this definition, the determination of the Applicable Rate for any period shall be subject to the provisions of </w:t>
      </w:r>
      <w:r>
        <w:rPr>
          <w:rFonts w:ascii="Times New Roman;sans-serif" w:hAnsi="Times New Roman;sans-serif"/>
          <w:b w:val="false"/>
          <w:color w:val="000000"/>
          <w:sz w:val="22"/>
          <w:u w:val="single"/>
        </w:rPr>
        <w:t>Section 2.10(b)</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Applicable Revolving Percentage</w:t>
      </w:r>
      <w:r>
        <w:rPr>
          <w:color w:val="000000"/>
        </w:rPr>
        <w:t xml:space="preserve">” </w:t>
      </w:r>
      <w:r>
        <w:rPr>
          <w:rFonts w:ascii="Times New Roman;sans-serif" w:hAnsi="Times New Roman;sans-serif"/>
          <w:b w:val="false"/>
          <w:color w:val="000000"/>
          <w:sz w:val="22"/>
        </w:rPr>
        <w:t>means, with respect to any Revolving Lender at any time, such Revolving Lender’s Applicable Percentage in respect of the Aggregate Revolving Commitments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Appropriate Lender</w:t>
      </w:r>
      <w:r>
        <w:rPr>
          <w:color w:val="000000"/>
        </w:rPr>
        <w:t xml:space="preserve">” </w:t>
      </w:r>
      <w:r>
        <w:rPr>
          <w:rFonts w:ascii="Times New Roman;sans-serif" w:hAnsi="Times New Roman;sans-serif"/>
          <w:b w:val="false"/>
          <w:color w:val="000000"/>
          <w:sz w:val="22"/>
        </w:rPr>
        <w:t xml:space="preserve">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xml:space="preserve">, each Revolving Lender, and (c) with respect to the Swing Line Sublimit, (i) the Swing Line Lender, and (ii) if any Swing Line Loans are outstanding pursuant to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 each Revolving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Eligible Assignee (with the consent of any party whose consent is required by </w:t>
      </w:r>
      <w:r>
        <w:rPr>
          <w:rFonts w:ascii="Times New Roman;sans-serif" w:hAnsi="Times New Roman;sans-serif"/>
          <w:b w:val="false"/>
          <w:color w:val="000000"/>
          <w:sz w:val="22"/>
          <w:u w:val="single"/>
        </w:rPr>
        <w:t>Section 11.06(b)</w:t>
      </w:r>
      <w:r>
        <w:rPr>
          <w:rFonts w:ascii="Times New Roman;sans-serif" w:hAnsi="Times New Roman;sans-serif"/>
          <w:b w:val="false"/>
          <w:color w:val="000000"/>
          <w:sz w:val="22"/>
        </w:rPr>
        <w:t xml:space="preserve">), and accepted by the Administrative Agent, in substantially the form of </w:t>
      </w:r>
      <w:r>
        <w:rPr>
          <w:rFonts w:ascii="Times New Roman;sans-serif" w:hAnsi="Times New Roman;sans-serif"/>
          <w:b w:val="false"/>
          <w:color w:val="000000"/>
          <w:sz w:val="22"/>
          <w:u w:val="single"/>
        </w:rPr>
        <w:t>Exhibit 11.06(b)</w:t>
      </w:r>
      <w:r>
        <w:rPr>
          <w:color w:val="000000"/>
        </w:rPr>
        <w:t xml:space="preserve"> </w:t>
      </w:r>
      <w:r>
        <w:rPr>
          <w:rFonts w:ascii="Times New Roman;sans-serif" w:hAnsi="Times New Roman;sans-serif"/>
          <w:b w:val="false"/>
          <w:color w:val="000000"/>
          <w:sz w:val="22"/>
        </w:rPr>
        <w:t>or any other form (including electronic documentation generated by MarkitClear or other electronic platform) approved by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Attributable Indebtedness</w:t>
      </w:r>
      <w:r>
        <w:rPr>
          <w:color w:val="000000"/>
        </w:rPr>
        <w:t xml:space="preserve">” </w:t>
      </w:r>
      <w:r>
        <w:rPr>
          <w:rFonts w:ascii="Times New Roman;sans-serif" w:hAnsi="Times New Roman;sans-serif"/>
          <w:b w:val="false"/>
          <w:color w:val="000000"/>
          <w:sz w:val="22"/>
        </w:rPr>
        <w:t>means, with respect to any Person on any date, (a) in respect of any Capital Lease, the capitalized amount thereof that would appear on a balance sheet of such Person prepared as of such date in accordance with GAAP, (b) in respect of any Synthetic Lease, the capitalized amount of the remaining lease payments under the relevant lease that would appear on a balance sheet of such Person prepared as of such date in accordance with GAAP if such lease were accounted for as a Capital Lease and (c) in respect of any Securitization Transaction, the outstanding principal amount of such financing, after taking into account reserve accounts and making appropriate adjustments, determined by the Administrative Agent in its reasonable judgment.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Audited Financial Statements</w:t>
      </w:r>
      <w:r>
        <w:rPr>
          <w:color w:val="000000"/>
        </w:rPr>
        <w:t xml:space="preserve">” </w:t>
      </w:r>
      <w:r>
        <w:rPr>
          <w:rFonts w:ascii="Times New Roman;sans-serif" w:hAnsi="Times New Roman;sans-serif"/>
          <w:b w:val="false"/>
          <w:color w:val="000000"/>
          <w:sz w:val="22"/>
        </w:rPr>
        <w:t>means the audited consolidated balance sheet of the Borrower and its Subsidiaries for the fiscal year ended September 30, 2022, and the related consolidated statements of income or operations, shareholders’ equity and cash flows of the Borrower and its Subsidiaries for such fiscal year, including the notes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Auto-Extension Letter of Credit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2.03(b)(iii)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Availability Period</w:t>
      </w:r>
      <w:r>
        <w:rPr>
          <w:color w:val="000000"/>
        </w:rPr>
        <w:t xml:space="preserve">” </w:t>
      </w:r>
      <w:r>
        <w:rPr>
          <w:rFonts w:ascii="Times New Roman;sans-serif" w:hAnsi="Times New Roman;sans-serif"/>
          <w:b w:val="false"/>
          <w:color w:val="000000"/>
          <w:sz w:val="22"/>
        </w:rPr>
        <w:t xml:space="preserve">means, with respect to the Revolving Commitments, the period from and including the Closing Date to the earliest of (a) the Revolving Maturity Date, (b) the date of termination of the Aggregate Revolving Commitments pursuant to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and (c) the date of termination of the Revolving Commitment of each Revolving Lender to make Revolving Loans and of the obligation of the L/C Issuer to make L/C Credit Extensions pursuant to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Bank of America</w:t>
      </w:r>
      <w:r>
        <w:rPr>
          <w:color w:val="000000"/>
        </w:rPr>
        <w:t xml:space="preserve">” </w:t>
      </w:r>
      <w:r>
        <w:rPr>
          <w:rFonts w:ascii="Times New Roman;sans-serif" w:hAnsi="Times New Roman;sans-serif"/>
          <w:b w:val="false"/>
          <w:color w:val="000000"/>
          <w:sz w:val="22"/>
        </w:rPr>
        <w:t>means Bank of America, N.A. and its successors.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 xml:space="preserve">means for any day a fluctuating rate of interest per annum equal to the highest of (a) the Federal Funds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0.50%, (b) the rate of interest in effect for such day as publicly announced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from time to time by Bank of America as its “prime rate” and (c) the one month Term SOFR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1.0%; subject to the interest rate floors set forth therein;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sans-serif" w:hAnsi="Times New Roman;sans-serif"/>
          <w:b w:val="false"/>
          <w:color w:val="000000"/>
          <w:sz w:val="22"/>
          <w:u w:val="single"/>
        </w:rPr>
        <w:t>Section 3.03</w:t>
      </w:r>
      <w:r>
        <w:rPr>
          <w:rFonts w:ascii="Times New Roman;sans-serif" w:hAnsi="Times New Roman;sans-serif"/>
          <w:b w:val="false"/>
          <w:color w:val="000000"/>
          <w:sz w:val="22"/>
        </w:rPr>
        <w:t xml:space="preserve">, then the Base Rate shall be the greater of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and shall be determined without reference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above.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Base Rate Loan</w:t>
      </w:r>
      <w:r>
        <w:rPr>
          <w:color w:val="000000"/>
        </w:rPr>
        <w:t xml:space="preserve">” </w:t>
      </w:r>
      <w:r>
        <w:rPr>
          <w:rFonts w:ascii="Times New Roman;sans-serif" w:hAnsi="Times New Roman;sans-serif"/>
          <w:b w:val="false"/>
          <w:color w:val="000000"/>
          <w:sz w:val="22"/>
        </w:rPr>
        <w:t>means a Loan that bears interest based on the Base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a certification regarding beneficial ownership required by the Beneficial Ownership Regulation.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BHC Act Affiliate</w:t>
      </w:r>
      <w:r>
        <w:rPr>
          <w:color w:val="000000"/>
        </w:rPr>
        <w:t xml:space="preserve">” </w:t>
      </w:r>
      <w:r>
        <w:rPr>
          <w:rFonts w:ascii="Times New Roman;sans-serif" w:hAnsi="Times New Roman;sans-serif"/>
          <w:b w:val="false"/>
          <w:color w:val="000000"/>
          <w:sz w:val="22"/>
        </w:rPr>
        <w:t>of a party means an “affiliate” (as such term is defined under, and interpreted in accordance with, 12 U.S.C. 1841(k)) of such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BofA Securities</w:t>
      </w:r>
      <w:r>
        <w:rPr>
          <w:color w:val="000000"/>
        </w:rPr>
        <w:t xml:space="preserve">” </w:t>
      </w:r>
      <w:r>
        <w:rPr>
          <w:rFonts w:ascii="Times New Roman;sans-serif" w:hAnsi="Times New Roman;sans-serif"/>
          <w:b w:val="false"/>
          <w:color w:val="000000"/>
          <w:sz w:val="22"/>
        </w:rPr>
        <w:t>means BofA Securities, Inc.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Borrower Materials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 xml:space="preserve">means a Revolving Borrowing, a borrowing of a Swing Line Loan pursuant to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or an Incremental Term Borrowing, as the context may require.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other than a Saturday, Sunday or other day on which commercial banks are authorized to close under the Laws of, or are in fact closed in, the state where the Administrative Agent’s Office is located.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Capital Lease</w:t>
      </w:r>
      <w:r>
        <w:rPr>
          <w:color w:val="000000"/>
        </w:rPr>
        <w:t xml:space="preserve">” </w:t>
      </w:r>
      <w:r>
        <w:rPr>
          <w:rFonts w:ascii="Times New Roman;sans-serif" w:hAnsi="Times New Roman;sans-serif"/>
          <w:b w:val="false"/>
          <w:color w:val="000000"/>
          <w:sz w:val="22"/>
        </w:rPr>
        <w:t>means, as applied to any Person, any lease of any property by that Person as lessee which, in accordance with GAAP, is required to be accounted for as a capital lease on the balance sheet of that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means to pledge and deposit with or deliver to the Administrative Agent, for the benefit of one or more of the L/C Issuer or the Revolving Lenders, as collateral for L/C Obligations or obligations of the Revolving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w:t>
      </w:r>
      <w:r>
        <w:rPr>
          <w:rFonts w:ascii="Times New Roman;sans-serif" w:hAnsi="Times New Roman;sans-serif"/>
          <w:b w:val="false"/>
          <w:color w:val="000000"/>
          <w:sz w:val="22"/>
          <w:u w:val="single"/>
        </w:rPr>
        <w:t>Cash Collateral</w:t>
      </w:r>
      <w:r>
        <w:rPr>
          <w:color w:val="000000"/>
        </w:rPr>
        <w:t xml:space="preserve">” </w:t>
      </w:r>
      <w:r>
        <w:rPr>
          <w:rFonts w:ascii="Times New Roman;sans-serif" w:hAnsi="Times New Roman;sans-serif"/>
          <w:b w:val="false"/>
          <w:color w:val="000000"/>
          <w:sz w:val="22"/>
        </w:rPr>
        <w:t>shall have a meaning correlative to the foregoing and shall include the proceeds of such cash collateral and other credit support.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Cash Equivalents</w:t>
      </w:r>
      <w:r>
        <w:rPr>
          <w:color w:val="000000"/>
        </w:rPr>
        <w:t xml:space="preserve">” </w:t>
      </w:r>
      <w:r>
        <w:rPr>
          <w:rFonts w:ascii="Times New Roman;sans-serif" w:hAnsi="Times New Roman;sans-serif"/>
          <w:b w:val="false"/>
          <w:color w:val="000000"/>
          <w:sz w:val="22"/>
        </w:rPr>
        <w:t>means, as at any date, (a) readily marketable securities issued or directly and fully guaranteed or insured by the United States or any agency or instrumentality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full faith and credit of the United States is pledged in support thereof) having maturities of not more than twelve months from the date of acquisition, (b) Dollar denominated time deposits and certificates of deposit of (i) any Lender, (ii) any domestic commercial bank of recognized standing having capital and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surplus in excess of $500,000,000 or (iii) any bank whose short-term commercial paper rating from S&amp;P is at least A-1 or the equivalent thereof or from Moody’s is at least P-1 or the equivalent thereof (any such bank being an “</w:t>
      </w:r>
      <w:r>
        <w:rPr>
          <w:rFonts w:ascii="Times New Roman;sans-serif" w:hAnsi="Times New Roman;sans-serif"/>
          <w:b w:val="false"/>
          <w:color w:val="000000"/>
          <w:sz w:val="22"/>
          <w:u w:val="single"/>
        </w:rPr>
        <w:t>Approved Bank</w:t>
      </w:r>
      <w:r>
        <w:rPr>
          <w:color w:val="000000"/>
        </w:rPr>
        <w:t>”</w:t>
      </w:r>
      <w:r>
        <w:rPr>
          <w:rFonts w:ascii="Times New Roman;sans-serif" w:hAnsi="Times New Roman;sans-serif"/>
          <w:b w:val="false"/>
          <w:color w:val="000000"/>
          <w:sz w:val="22"/>
        </w:rPr>
        <w:t xml:space="preserve">), in each case with maturities of not more than one year from the date of acquisition, (c) commercial paper and variable or fixed rate notes issued by any Approved Bank (or by the parent company thereof) or any variable rate notes issued by, or guaranteed by, any domestic corporation rated A-1 (or the equivalent thereof) or better by S&amp;P or P-1 (or the equivalent thereof) or better by Moody’s and maturing within twelve months of the date of acquisition, (d) repurchase agreements entered into by any Person with a bank or trust company (including any of the Lenders) or recognized securities or commodities dealer having capital and surplus in excess of $500,000,000 for direct obligations issued by or fully guaranteed by the United States in which such Person shall have a perfected first priority security interest (subject to no other Liens) and having, on the date of purchase thereof, a fair market value of at least 100% of the amount of the repurchase obligations and (e) investments, classified in accordance with GAAP as current assets, in money market investment programs registered under the Investment Company Act of 1940 which are administered by reputable financial institutions having capital of at least $500,000,000 and the portfolios of which are limited to Investments of the character described in the foregoing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Cash Management Agreement</w:t>
      </w:r>
      <w:r>
        <w:rPr>
          <w:color w:val="000000"/>
        </w:rPr>
        <w:t xml:space="preserve">” </w:t>
      </w:r>
      <w:r>
        <w:rPr>
          <w:rFonts w:ascii="Times New Roman;sans-serif" w:hAnsi="Times New Roman;sans-serif"/>
          <w:b w:val="false"/>
          <w:color w:val="000000"/>
          <w:sz w:val="22"/>
        </w:rPr>
        <w:t>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Cash Management Bank</w:t>
      </w:r>
      <w:r>
        <w:rPr>
          <w:color w:val="000000"/>
        </w:rPr>
        <w:t xml:space="preserve">” </w:t>
      </w:r>
      <w:r>
        <w:rPr>
          <w:rFonts w:ascii="Times New Roman;sans-serif" w:hAnsi="Times New Roman;sans-serif"/>
          <w:b w:val="false"/>
          <w:color w:val="000000"/>
          <w:sz w:val="22"/>
        </w:rPr>
        <w:t>means any Person that (i) at the time it enters into a Cash Management Agreement, is a Lender or the Administrative Agent or an Affiliate of a Lender or the Administrative Agent, (ii) in the case of any Cash Management Agreement in effect on or prior to the Closing Date, is, as of the Closing Date or within 30 days thereafter, a Lender or the Administrative Agent or an Affiliate of a Lender or the Administrative Agent and a party to a Cash Management Agreement or (iii) within 30 days after the time it enters into the applicable Cash Management Agreement, becomes a Lender, the Administrative Agent or an Affiliate of a Lender or the Administrative Agent, in each case, in its capacity as a party to such Cash Management Agreement.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CERCLA</w:t>
      </w:r>
      <w:r>
        <w:rPr>
          <w:color w:val="000000"/>
        </w:rPr>
        <w:t xml:space="preserve">” </w:t>
      </w:r>
      <w:r>
        <w:rPr>
          <w:rFonts w:ascii="Times New Roman;sans-serif" w:hAnsi="Times New Roman;sans-serif"/>
          <w:b w:val="false"/>
          <w:color w:val="000000"/>
          <w:sz w:val="22"/>
        </w:rPr>
        <w:t>means the Comprehensive Environmental Response, Compensation and Liability Act of 1980.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CERCLIS</w:t>
      </w:r>
      <w:r>
        <w:rPr>
          <w:color w:val="000000"/>
        </w:rPr>
        <w:t xml:space="preserve">” </w:t>
      </w:r>
      <w:r>
        <w:rPr>
          <w:rFonts w:ascii="Times New Roman;sans-serif" w:hAnsi="Times New Roman;sans-serif"/>
          <w:b w:val="false"/>
          <w:color w:val="000000"/>
          <w:sz w:val="22"/>
        </w:rPr>
        <w:t>means the Comprehensive Environmental Response, Compensation and Liability Information System maintained by the U.S. Environmental Protection Agency.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CFTC</w:t>
      </w:r>
      <w:r>
        <w:rPr>
          <w:color w:val="000000"/>
        </w:rPr>
        <w:t xml:space="preserve">” </w:t>
      </w:r>
      <w:r>
        <w:rPr>
          <w:rFonts w:ascii="Times New Roman;sans-serif" w:hAnsi="Times New Roman;sans-serif"/>
          <w:b w:val="false"/>
          <w:color w:val="000000"/>
          <w:sz w:val="22"/>
        </w:rPr>
        <w:t>means the Commodity Futures Trading Commission, or any Governmental Authority succeeding to any of its principal functions.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Closing Date,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Change of Control</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(a)an event or series of events by which: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(1)any “person” or “group” (as such terms are used in Sections 13(d) and 14(d) of the Securities Exchange Act of 1934, but excluding (x) any employee benefit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plan of such person or its subsidiaries, and any person or entity acting in its capacity as trustee, agent or other fiduciary or administrator of any such plan or (y) any Permitted Holder)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25% or more of the Equity Interests of the Borrower entitled to vote for members of the board of directors or equivalent governing body of the Borrower on a fully diluted basis (and taking into account all such securities that such person or group has the right to acquire pursuant to any option right);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(2)during any period of 24 consecutive months, a majority of the members of the board of directors or other equivalent governing body of the Borrower cease to be composed of individuals (x) who were members of that board or equivalent governing body on the first day of such period, (y) whose election or nomination to that board or equivalent governing body was approved by individuals referred to in </w:t>
      </w:r>
      <w:r>
        <w:rPr>
          <w:rFonts w:ascii="Times New Roman;sans-serif" w:hAnsi="Times New Roman;sans-serif"/>
          <w:b w:val="false"/>
          <w:color w:val="000000"/>
          <w:sz w:val="22"/>
          <w:u w:val="single"/>
        </w:rPr>
        <w:t>clause (x)</w:t>
      </w:r>
      <w:r>
        <w:rPr>
          <w:color w:val="000000"/>
        </w:rPr>
        <w:t xml:space="preserve"> </w:t>
      </w:r>
      <w:r>
        <w:rPr>
          <w:rFonts w:ascii="Times New Roman;sans-serif" w:hAnsi="Times New Roman;sans-serif"/>
          <w:b w:val="false"/>
          <w:color w:val="000000"/>
          <w:sz w:val="22"/>
        </w:rPr>
        <w:t xml:space="preserve">above constituting at the time of such election or nomination at least a majority of that board or equivalent governing body or (z) whose election or nomination to that board or other equivalent governing body was approved by individuals referred to in </w:t>
      </w:r>
      <w:r>
        <w:rPr>
          <w:rFonts w:ascii="Times New Roman;sans-serif" w:hAnsi="Times New Roman;sans-serif"/>
          <w:b w:val="false"/>
          <w:color w:val="000000"/>
          <w:sz w:val="22"/>
          <w:u w:val="single"/>
        </w:rPr>
        <w:t>clauses (x)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(y)</w:t>
      </w:r>
      <w:r>
        <w:rPr>
          <w:color w:val="000000"/>
        </w:rPr>
        <w:t xml:space="preserve"> </w:t>
      </w:r>
      <w:r>
        <w:rPr>
          <w:rFonts w:ascii="Times New Roman;sans-serif" w:hAnsi="Times New Roman;sans-serif"/>
          <w:b w:val="false"/>
          <w:color w:val="000000"/>
          <w:sz w:val="22"/>
        </w:rPr>
        <w:t>above constituting at the time of such election or nomination at least a majority of that board or equivalent governing body;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occurrence of a “Change of Control” (or any comparable term) under, and as defined in, the Second Lien Debt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Class</w:t>
      </w:r>
      <w:r>
        <w:rPr>
          <w:color w:val="000000"/>
        </w:rPr>
        <w:t xml:space="preserve">” </w:t>
      </w:r>
      <w:r>
        <w:rPr>
          <w:rFonts w:ascii="Times New Roman;sans-serif" w:hAnsi="Times New Roman;sans-serif"/>
          <w:b w:val="false"/>
          <w:color w:val="000000"/>
          <w:sz w:val="22"/>
        </w:rPr>
        <w:t>means (a) when used in reference to any Loan or Borrowing, refers to whether such Loan, or the Loans comprising such Borrowing, are Revolving Loans or Incremental Term Loans under an Incremental Term Facility, and (b) when used in reference to any Commitment, refers to whether such Commitment is a Revolving Commitment or an Incremental Term Commitment with respect to an Incremental Term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means February 22, 2019.</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CME</w:t>
      </w:r>
      <w:r>
        <w:rPr>
          <w:color w:val="000000"/>
        </w:rPr>
        <w:t xml:space="preserve">” </w:t>
      </w:r>
      <w:r>
        <w:rPr>
          <w:rFonts w:ascii="Times New Roman;sans-serif" w:hAnsi="Times New Roman;sans-serif"/>
          <w:b w:val="false"/>
          <w:color w:val="000000"/>
          <w:sz w:val="22"/>
        </w:rPr>
        <w:t>means CME Group Benchmark Administration Limited.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means a collective reference to all personal property with respect to which Liens in favor of the Administrative Agent, for the benefit of the holders of the Obligations, are purported to be granted pursuant to and in accordance with the terms of the Collateral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Collateral Documents</w:t>
      </w:r>
      <w:r>
        <w:rPr>
          <w:color w:val="000000"/>
        </w:rPr>
        <w:t xml:space="preserve">” </w:t>
      </w:r>
      <w:r>
        <w:rPr>
          <w:rFonts w:ascii="Times New Roman;sans-serif" w:hAnsi="Times New Roman;sans-serif"/>
          <w:b w:val="false"/>
          <w:color w:val="000000"/>
          <w:sz w:val="22"/>
        </w:rPr>
        <w:t xml:space="preserve">means a collective reference to the Security Agreement and other security documents as may be executed and delivered by the Loan Parties pursuant to the terms of </w:t>
      </w:r>
      <w:r>
        <w:rPr>
          <w:rFonts w:ascii="Times New Roman;sans-serif" w:hAnsi="Times New Roman;sans-serif"/>
          <w:b w:val="false"/>
          <w:color w:val="000000"/>
          <w:sz w:val="22"/>
          <w:u w:val="single"/>
        </w:rPr>
        <w:t>Section 7.14</w:t>
      </w:r>
      <w:r>
        <w:rPr>
          <w:color w:val="000000"/>
        </w:rPr>
        <w:t xml:space="preserve"> </w:t>
      </w:r>
      <w:r>
        <w:rPr>
          <w:rFonts w:ascii="Times New Roman;sans-serif" w:hAnsi="Times New Roman;sans-serif"/>
          <w:b w:val="false"/>
          <w:color w:val="000000"/>
          <w:sz w:val="22"/>
        </w:rPr>
        <w:t>or any of the Loan Documents.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means a Revolving Commitment or an Incremental Term Commitment, as the context may require.</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Commitment Fee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2.09(a)</w:t>
      </w:r>
      <w:r>
        <w:rPr>
          <w:rFonts w:ascii="Times New Roman;sans-serif" w:hAnsi="Times New Roman;sans-serif"/>
          <w:b w:val="false"/>
          <w:color w:val="000000"/>
          <w:sz w:val="22"/>
        </w:rPr>
        <w: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Commodity Exchange Act</w:t>
      </w:r>
      <w:r>
        <w:rPr>
          <w:color w:val="000000"/>
        </w:rPr>
        <w:t xml:space="preserve">” </w:t>
      </w:r>
      <w:r>
        <w:rPr>
          <w:rFonts w:ascii="Times New Roman;sans-serif" w:hAnsi="Times New Roman;sans-serif"/>
          <w:b w:val="false"/>
          <w:color w:val="000000"/>
          <w:sz w:val="22"/>
        </w:rPr>
        <w:t xml:space="preserve">means the Commodity Exchange Act (7 U.S.C. § 1 </w:t>
      </w:r>
      <w:r>
        <w:rPr>
          <w:rFonts w:ascii="Times New Roman;sans-serif" w:hAnsi="Times New Roman;sans-serif"/>
          <w:b w:val="false"/>
          <w:i/>
          <w:color w:val="000000"/>
          <w:sz w:val="22"/>
        </w:rPr>
        <w:t>et seq.</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Communication</w:t>
      </w:r>
      <w:r>
        <w:rPr>
          <w:color w:val="000000"/>
        </w:rPr>
        <w:t xml:space="preserve">” </w:t>
      </w:r>
      <w:r>
        <w:rPr>
          <w:rFonts w:ascii="Times New Roman;sans-serif" w:hAnsi="Times New Roman;sans-serif"/>
          <w:b w:val="false"/>
          <w:color w:val="000000"/>
          <w:sz w:val="22"/>
        </w:rPr>
        <w:t>means this Agreement, any other Loan Document and any other document, amendment, approval, consent, information, notice, certificate, request, statement, disclosure or authorization related to any Loan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Compliance Certificate</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7.02</w:t>
      </w:r>
      <w:r>
        <w:rPr>
          <w:rFonts w:ascii="Times New Roman;sans-serif" w:hAnsi="Times New Roman;sans-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Conforming Changes</w:t>
      </w:r>
      <w:r>
        <w:rPr>
          <w:color w:val="000000"/>
        </w:rPr>
        <w:t xml:space="preserve">” </w:t>
      </w:r>
      <w:r>
        <w:rPr>
          <w:rFonts w:ascii="Times New Roman;sans-serif" w:hAnsi="Times New Roman;sans-serif"/>
          <w:b w:val="false"/>
          <w:color w:val="000000"/>
          <w:sz w:val="22"/>
        </w:rPr>
        <w:t>means, with respect to the use, administration of or any conventions associated with SOFR or any proposed Successor Rate, Term SOFR or SOFR Daily Floating Rate, as applicable, any conforming changes to the definitions of “Base Rate”, “SOFR”, “Term SOFR”, “SOFR Daily Floating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lineRule="auto" w:line="240" w:before="0" w:after="240"/>
        <w:ind w:left="0" w:right="0" w:firstLine="720"/>
        <w:jc w:val="left"/>
        <w:rPr/>
      </w:pPr>
      <w:r>
        <w:rPr>
          <w:color w:val="000000"/>
        </w:rPr>
        <w:t>“</w:t>
      </w:r>
      <w:r>
        <w:rPr>
          <w:rFonts w:ascii="Times New Roman;sans-serif" w:hAnsi="Times New Roman;sans-serif"/>
          <w:b w:val="false"/>
          <w:color w:val="000000"/>
          <w:sz w:val="22"/>
          <w:u w:val="single"/>
        </w:rPr>
        <w:t>Connection Income Taxes</w:t>
      </w:r>
      <w:r>
        <w:rPr>
          <w:color w:val="000000"/>
        </w:rPr>
        <w:t xml:space="preserve">” </w:t>
      </w:r>
      <w:r>
        <w:rPr>
          <w:rFonts w:ascii="Times New Roman;sans-serif" w:hAnsi="Times New Roman;sans-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Capital Expenditures</w:t>
      </w:r>
      <w:r>
        <w:rPr>
          <w:color w:val="000000"/>
        </w:rPr>
        <w:t xml:space="preserve">” </w:t>
      </w:r>
      <w:r>
        <w:rPr>
          <w:rFonts w:ascii="Times New Roman;sans-serif" w:hAnsi="Times New Roman;sans-serif"/>
          <w:b w:val="false"/>
          <w:color w:val="000000"/>
          <w:sz w:val="22"/>
        </w:rPr>
        <w:t>means, for any period, for the Borrower and its Subsidiaries on a consolidated basis, all capital expenditures but excluding (a) expenditures to the extent made with the proceeds of any Involuntary Disposition used to purchase property that is useful in the business of the Borrower and its Subsidiaries and (b) one-time extraordinary expenses related to office build-out and the purchase of aircraft and incurred during the fiscal year of the Borrower ending September 30, 2021, in an amount not to exceed (i) for such expenses related to office build-out, $17,600,000 and (ii) for such expenses related to the purchase of aircraft, $12,000,000.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 xml:space="preserve">means, for any period, for the Borrower and its Subsidiaries on a consolidated basis, an amount equal to Consolidated Net Income for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 the following to the extent deducted in calculating such Consolidated Net Income: (i) Consolidated Interest Charges for such period, (ii) the provision for federal, state, local and foreign income taxes payable for such period, (iii) the amount of depreciation and amortization expense for such period (including amortization of goodwill and other intangibles), (iv) any net loss from disposed, abandoned or discontinued operations, (v) other non-recurring, non-cash charges (excluding write-downs of accounts receivable and any other non-cash expense to the extent it represents an accrual of or a reserve for cash expenses in any future period) and (vi) non-cash charges or expenses related to stock-based compensation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the following to the extent added in calculating such Consolidated Net Income: (i) any net gain from disposed, abandoned or discontinued operations and (ii) non-recurring, non-cash income or gains for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Fixed Charge Coverage Ratio</w:t>
      </w:r>
      <w:r>
        <w:rPr>
          <w:color w:val="000000"/>
        </w:rPr>
        <w:t xml:space="preserve">” </w:t>
      </w:r>
      <w:r>
        <w:rPr>
          <w:rFonts w:ascii="Times New Roman;sans-serif" w:hAnsi="Times New Roman;sans-serif"/>
          <w:b w:val="false"/>
          <w:color w:val="000000"/>
          <w:sz w:val="22"/>
        </w:rPr>
        <w:t xml:space="preserve">means, as of any date of determination, the ratio of (a) the difference of (i) Consolidated EBITDA for the most recent four fiscal quarters ended on or prior to such date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Consolidated Capital Expenditures for such period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(iii) income taxes paid in cash during such period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(iv) all Trading Debt Interest Charges during such period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(b) Consolidated Fixed Charges for the most recent four fiscal quarters ended on or prior to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Fixed Charges</w:t>
      </w:r>
      <w:r>
        <w:rPr>
          <w:color w:val="000000"/>
        </w:rPr>
        <w:t xml:space="preserve">” </w:t>
      </w:r>
      <w:r>
        <w:rPr>
          <w:rFonts w:ascii="Times New Roman;sans-serif" w:hAnsi="Times New Roman;sans-serif"/>
          <w:b w:val="false"/>
          <w:color w:val="000000"/>
          <w:sz w:val="22"/>
        </w:rPr>
        <w:t xml:space="preserve">means, for any period, for the Borrower and its Subsidiaries on a consolidated basis, an amount equal to the sum of (a) the total of (i) cash portion of Consolidated Interest Charges for such period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all Trading Debt Interest Charges during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(b) Consolidated Scheduled Funded Debt Payments for such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Funded Debt to Net Worth Ratio</w:t>
      </w:r>
      <w:r>
        <w:rPr>
          <w:color w:val="000000"/>
        </w:rPr>
        <w:t xml:space="preserve">” </w:t>
      </w:r>
      <w:r>
        <w:rPr>
          <w:rFonts w:ascii="Times New Roman;sans-serif" w:hAnsi="Times New Roman;sans-serif"/>
          <w:b w:val="false"/>
          <w:color w:val="000000"/>
          <w:sz w:val="22"/>
        </w:rPr>
        <w:t xml:space="preserve">means, as of any date of determination, the ratio of (a) Consolidated Funded Indebtedness as of such date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(b) Consolidated Tangible Net Worth as of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Funded Indebtedness</w:t>
      </w:r>
      <w:r>
        <w:rPr>
          <w:color w:val="000000"/>
        </w:rPr>
        <w:t xml:space="preserve">” </w:t>
      </w:r>
      <w:r>
        <w:rPr>
          <w:rFonts w:ascii="Times New Roman;sans-serif" w:hAnsi="Times New Roman;sans-serif"/>
          <w:b w:val="false"/>
          <w:color w:val="000000"/>
          <w:sz w:val="22"/>
        </w:rPr>
        <w:t xml:space="preserve">means, as of any date of determination with respect to the Borrower and its Subsidiaries on a consolidated basis, without duplication, the sum of: (a) the outstanding principal amount of all obligations for borrowed money, whether current or long-term (including the Credit Extensions and the principal amount of any convertible notes) and all obligations evidenced by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bonds, debentures, notes, loan agreements or other similar instruments; (b) all purchase money Indebtedness; (c) the maximum amount available to be drawn under letters of credit (including standby and commercial), bankers’ acceptances, bank guaranties, surety bonds and similar instruments; (d) all obligations in respect of the deferred purchase price of property or services (other than (i) trade accounts and accrued expenses payable in the ordinary course of business and (ii) contingent earn-outs, hold-backs and other deferred payment of consideration in Permitted Acquisitions to the extent not required to be reflected as liabilities on the balance sheet of the Borrower and its Subsidiaries in accordance with GAAP); (e) all Attributable Indebtedness; (f) all obligations to purchase, redeem, retire, defease or otherwise make any payment prior to the Latest Maturity Date in respect of any Equity Interests or any warrant, right or option to acquire such Equity Interest, valued, in the case of a redeemable preferred interest, at the greater of its voluntary or involuntary liquidation preference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accrued and unpaid dividends; (g) all Guarantees with respect to Indebtedness of the types specified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above of another Person; and (h) all Indebtedness of the types referred to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above of any partnership or joint venture (other than a joint venture that is itself a corporation or limited liability company) in which any Loan Party or any Subsidiary is a general partner or joint venturer, except to the extent that Indebtedness is expressly made non-recourse to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Interest Charges</w:t>
      </w:r>
      <w:r>
        <w:rPr>
          <w:color w:val="000000"/>
        </w:rPr>
        <w:t xml:space="preserve">” </w:t>
      </w:r>
      <w:r>
        <w:rPr>
          <w:rFonts w:ascii="Times New Roman;sans-serif" w:hAnsi="Times New Roman;sans-serif"/>
          <w:b w:val="false"/>
          <w:color w:val="000000"/>
          <w:sz w:val="22"/>
        </w:rPr>
        <w:t xml:space="preserve">means, for any period, for the Borrower and its Subsidiaries on a consolidated basis, an amount equal to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(but excluding interest paid to third party customers with the interest income received from third party customer deposits),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portion of rent expense with respect to such period under Capital Leases that is treated as interest in accordance with GAAP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the implied interest component of Synthetic Leases with respect to such period.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Leverage Ratio</w:t>
      </w:r>
      <w:r>
        <w:rPr>
          <w:color w:val="000000"/>
        </w:rPr>
        <w:t xml:space="preserve">” </w:t>
      </w:r>
      <w:r>
        <w:rPr>
          <w:rFonts w:ascii="Times New Roman;sans-serif" w:hAnsi="Times New Roman;sans-serif"/>
          <w:b w:val="false"/>
          <w:color w:val="000000"/>
          <w:sz w:val="22"/>
        </w:rPr>
        <w:t xml:space="preserve">means, as of any date of determination, for the Borrower and its Subsidiaries on a consolidated basis, the ratio of (a) Consolidated Funded Indebtedness as of such date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 xml:space="preserve">(b) Consolidated EBITDA for the most recent four fiscal quarters ended on or prior to such date.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means, for any period, for the Borrower and its Subsidiaries on a consolidated basis, the net income (excluding extraordinary gains and losses) for that period.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Net Unencumbered Liquid Assets</w:t>
      </w:r>
      <w:r>
        <w:rPr>
          <w:color w:val="000000"/>
        </w:rPr>
        <w:t xml:space="preserve">” </w:t>
      </w:r>
      <w:r>
        <w:rPr>
          <w:rFonts w:ascii="Times New Roman;sans-serif" w:hAnsi="Times New Roman;sans-serif"/>
          <w:b w:val="false"/>
          <w:color w:val="000000"/>
          <w:sz w:val="22"/>
        </w:rPr>
        <w:t xml:space="preserve">means, as of any date of determination, for the Borrower and its Subsidiaries on a consolidated basis, (a) the sum of (i) cash and Cash Equivalents (excluding Segregated Funds), (ii) deposits and receivables due from broker-dealers, clearing organizations and counterparties, (iii) income tax receivables, (iv) financial instruments owned (at fair market value), (v) physical commodities inventory (at lower of cost or market value) and (vi) the cumulative after tax marked-to-market adjustment as disclosed under “Management’s Discussion and Analysis of Financial Condition and Results of Operations” in the Borrower’s Form 10-Q or 10-K filing with SEC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the sum of (i) accounts payable and accrued liabilities, (ii) payables due broker dealers, clearing organizations and counterparties, (iii) income tax payable, (iv) financial instruments sold not yet purchased (at fair market value), (v) net level three assets (as defined by FASB Statement 157), (vi) physical commodities in process and (vii) outstanding principal amount of all Indebtedness.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Scheduled Funded Debt Payments</w:t>
      </w:r>
      <w:r>
        <w:rPr>
          <w:color w:val="000000"/>
        </w:rPr>
        <w:t xml:space="preserve">” </w:t>
      </w:r>
      <w:r>
        <w:rPr>
          <w:rFonts w:ascii="Times New Roman;sans-serif" w:hAnsi="Times New Roman;sans-serif"/>
          <w:b w:val="false"/>
          <w:color w:val="000000"/>
          <w:sz w:val="22"/>
        </w:rPr>
        <w:t>means for any period for the Borrower and its Subsidiaries on a consolidated basis, the sum of all scheduled payments of principal on Consolidated Funded Indebtedness.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and (c) shall not include any voluntary or mandatory prepayments.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Tangible Net Worth</w:t>
      </w:r>
      <w:r>
        <w:rPr>
          <w:color w:val="000000"/>
        </w:rPr>
        <w:t xml:space="preserve">” </w:t>
      </w:r>
      <w:r>
        <w:rPr>
          <w:rFonts w:ascii="Times New Roman;sans-serif" w:hAnsi="Times New Roman;sans-serif"/>
          <w:b w:val="false"/>
          <w:color w:val="000000"/>
          <w:sz w:val="22"/>
        </w:rPr>
        <w:t xml:space="preserve">means, as of any date of determination, for the Borrower and its Subsidiaries on a consolidated basis, (a) the gross fair market value of total assets less total liabilities as of such date, including, but not limited to, estimated taxes on asset appreciation and any reserves or offsets against assets, paid-in capital or the Borrower’s conversion of any of its convertible debt into Equity Interests, but excluding the non-current portion of any liabilities subordinated in payment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Obligations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intangible assets (including goodwill, patents, trademarks, trade names, organization expense, unamortized debt discount and expense, capitalized or deferred research and development costs, deferred marketing expenses, and other like intangibles), and monies due from Affiliates which are not Subsidiaries, officers, directors, employees or managers as of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Consolidated Total Stockholders’ Equity</w:t>
      </w:r>
      <w:r>
        <w:rPr>
          <w:color w:val="000000"/>
        </w:rPr>
        <w:t xml:space="preserve">” </w:t>
      </w:r>
      <w:r>
        <w:rPr>
          <w:rFonts w:ascii="Times New Roman;sans-serif" w:hAnsi="Times New Roman;sans-serif"/>
          <w:b w:val="false"/>
          <w:color w:val="000000"/>
          <w:sz w:val="22"/>
        </w:rPr>
        <w:t>means, as of any date of determination, the total stockholders’ equity of the Borrower and its Subsidiaries on a consolidated basis in accordance with GAAP as of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Contractual Obligation</w:t>
      </w:r>
      <w:r>
        <w:rPr>
          <w:color w:val="000000"/>
        </w:rPr>
        <w:t xml:space="preserve">” </w:t>
      </w:r>
      <w:r>
        <w:rPr>
          <w:rFonts w:ascii="Times New Roman;sans-serif" w:hAnsi="Times New Roman;sans-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Covered Party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11.22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Credit Extension</w:t>
      </w:r>
      <w:r>
        <w:rPr>
          <w:color w:val="000000"/>
        </w:rPr>
        <w:t xml:space="preserve">” </w:t>
      </w:r>
      <w:r>
        <w:rPr>
          <w:rFonts w:ascii="Times New Roman;sans-serif" w:hAnsi="Times New Roman;sans-serif"/>
          <w:b w:val="false"/>
          <w:color w:val="000000"/>
          <w:sz w:val="22"/>
        </w:rPr>
        <w:t>means each of the following: (a) a Borrowing; and (b) an L/C Credit Extension.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Credit Party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11.17</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Daily Simple SOFR</w:t>
      </w:r>
      <w:r>
        <w:rPr>
          <w:color w:val="000000"/>
        </w:rPr>
        <w:t xml:space="preserve">” </w:t>
      </w:r>
      <w:r>
        <w:rPr>
          <w:rFonts w:ascii="Times New Roman;sans-serif" w:hAnsi="Times New Roman;sans-serif"/>
          <w:b w:val="false"/>
          <w:color w:val="000000"/>
          <w:sz w:val="22"/>
        </w:rPr>
        <w:t>with respect to any applicable determination date means the SOFR published on such date on the Federal Reserve Bank of New York’s website (or any successor source).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Debtor Relief Laws</w:t>
      </w:r>
      <w:r>
        <w:rPr>
          <w:color w:val="000000"/>
        </w:rPr>
        <w:t xml:space="preserve">” </w:t>
      </w:r>
      <w:r>
        <w:rPr>
          <w:rFonts w:ascii="Times New Roman;sans-serif" w:hAnsi="Times New Roman;sans-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that constitutes an Event of Default or that, with the giving of any notice, the passage of time, or both, would be an Event of Default.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 Rate</w:t>
      </w:r>
      <w:r>
        <w:rPr>
          <w:color w:val="000000"/>
        </w:rPr>
        <w:t xml:space="preserve">” </w:t>
      </w:r>
      <w:r>
        <w:rPr>
          <w:rFonts w:ascii="Times New Roman;sans-serif" w:hAnsi="Times New Roman;sans-serif"/>
          <w:b w:val="false"/>
          <w:color w:val="000000"/>
          <w:sz w:val="22"/>
        </w:rPr>
        <w:t xml:space="preserve">means: (a) when used with respect to Obligations other than Letter of Credit Fees, an interest rate equal to (i)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the Applicable Rate, if any, applicable to Base Rate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(iii) 2% per annum;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with respect to a Term SOFR Loan, the Default Rate shall be an interest rate equal to the interest rate (including any Applicable Rate) otherwise applicable to such Loan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2% per annum, in each case to the fullest extent permitted by applicable Laws; and (b) when used with respect to Letter of Credit Fees, a rate equal to the Applicable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2% per annum.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 Right</w:t>
      </w:r>
      <w:r>
        <w:rPr>
          <w:color w:val="000000"/>
        </w:rPr>
        <w:t xml:space="preserve">” </w:t>
      </w:r>
      <w:r>
        <w:rPr>
          <w:rFonts w:ascii="Times New Roman;sans-serif" w:hAnsi="Times New Roman;sans-serif"/>
          <w:b w:val="false"/>
          <w:color w:val="000000"/>
          <w:sz w:val="22"/>
        </w:rPr>
        <w:t>has the meaning assigned to that term in, and shall be interpreted in accordance with, 12 C.F.R. §§ 252.81, 47.2 or 382.1,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subject to </w:t>
      </w:r>
      <w:r>
        <w:rPr>
          <w:rFonts w:ascii="Times New Roman;sans-serif" w:hAnsi="Times New Roman;sans-serif"/>
          <w:b w:val="false"/>
          <w:color w:val="000000"/>
          <w:sz w:val="22"/>
          <w:u w:val="single"/>
        </w:rPr>
        <w:t>Section 2.15(d)</w:t>
      </w:r>
      <w:r>
        <w:rPr>
          <w:rFonts w:ascii="Times New Roman;sans-serif" w:hAnsi="Times New Roman;sans-serif"/>
          <w:b w:val="false"/>
          <w:color w:val="000000"/>
          <w:sz w:val="22"/>
        </w:rPr>
        <w:t xml:space="preserve">,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Lender shall cease to be a Defaulting Lender pursuant to this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 xml:space="preserve">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w:t>
      </w:r>
      <w:r>
        <w:rPr>
          <w:rFonts w:ascii="Times New Roman;sans-serif" w:hAnsi="Times New Roman;sans-serif"/>
          <w:b w:val="false"/>
          <w:color w:val="000000"/>
          <w:sz w:val="22"/>
          <w:u w:val="single"/>
        </w:rPr>
        <w:t>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above, and of the effective date of such status, shall be conclusive and binding absent manifest error, and such Lender shall be deemed to be a Defaulting Lender (subject to </w:t>
      </w:r>
      <w:r>
        <w:rPr>
          <w:rFonts w:ascii="Times New Roman;sans-serif" w:hAnsi="Times New Roman;sans-serif"/>
          <w:b w:val="false"/>
          <w:color w:val="000000"/>
          <w:sz w:val="22"/>
          <w:u w:val="single"/>
        </w:rPr>
        <w:t>Section 2.15(d)</w:t>
      </w:r>
      <w:r>
        <w:rPr>
          <w:rFonts w:ascii="Times New Roman;sans-serif" w:hAnsi="Times New Roman;sans-serif"/>
          <w:b w:val="false"/>
          <w:color w:val="000000"/>
          <w:sz w:val="22"/>
        </w:rPr>
        <w:t>) as of the date established therefor by the Administrative Agent in a written notice of such determination, which shall be delivered by the Administrative Agent to the Borrower, the L/C Issuer, the Swing Line Lender and each other Lender promptly following such determination. For the avoidance of doubt, it is hereby understood and agreed by all parties to this Agreement that the Defaulting Lender provisions in this Agreement shall not apply to any Person in its capacity as a Hedge Bank or affect its status or rights as a secured party in respect of any Secured Hedge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Designated Jurisdiction</w:t>
      </w:r>
      <w:r>
        <w:rPr>
          <w:color w:val="000000"/>
        </w:rPr>
        <w:t xml:space="preserve">” </w:t>
      </w:r>
      <w:r>
        <w:rPr>
          <w:rFonts w:ascii="Times New Roman;sans-serif" w:hAnsi="Times New Roman;sans-serif"/>
          <w:b w:val="false"/>
          <w:color w:val="000000"/>
          <w:sz w:val="22"/>
        </w:rPr>
        <w:t>means any country or territory to the extent that such country or territory itself is the subject of any Sanction.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Disposition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Dispose</w:t>
      </w:r>
      <w:r>
        <w:rPr>
          <w:color w:val="000000"/>
        </w:rPr>
        <w:t xml:space="preserve">” </w:t>
      </w:r>
      <w:r>
        <w:rPr>
          <w:rFonts w:ascii="Times New Roman;sans-serif" w:hAnsi="Times New Roman;sans-serif"/>
          <w:b w:val="false"/>
          <w:color w:val="000000"/>
          <w:sz w:val="22"/>
        </w:rPr>
        <w:t>means the sale, transfer, license, lease or other disposition of any property by any Loan Party or any Subsidiary, including any Sale and Leaseback Transaction, any sale, assignment, transfer or other disposal, with or without recourse, of any notes or accounts receivable or any rights and claims associated therewith.</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Disqualified Institution</w:t>
      </w:r>
      <w:r>
        <w:rPr>
          <w:color w:val="000000"/>
        </w:rPr>
        <w:t xml:space="preserve">” </w:t>
      </w:r>
      <w:r>
        <w:rPr>
          <w:rFonts w:ascii="Times New Roman;sans-serif" w:hAnsi="Times New Roman;sans-serif"/>
          <w:b w:val="false"/>
          <w:color w:val="000000"/>
          <w:sz w:val="22"/>
        </w:rPr>
        <w:t xml:space="preserve">means, on any date, (a) any competitor of the Borrower and its Subsidiaries identified by legal name on </w:t>
      </w:r>
      <w:r>
        <w:rPr>
          <w:rFonts w:ascii="Times New Roman;sans-serif" w:hAnsi="Times New Roman;sans-serif"/>
          <w:b w:val="false"/>
          <w:color w:val="000000"/>
          <w:sz w:val="22"/>
          <w:u w:val="single"/>
        </w:rPr>
        <w:t>Schedule 1.01(b)</w:t>
      </w:r>
      <w:r>
        <w:rPr>
          <w:rFonts w:ascii="Times New Roman;sans-serif" w:hAnsi="Times New Roman;sans-serif"/>
          <w:b w:val="false"/>
          <w:color w:val="000000"/>
          <w:sz w:val="22"/>
        </w:rPr>
        <w:t xml:space="preserve">, and (b) any other Person who is a competitor of the Borrower and its Subsidiaries which has been designated by legal name by the Borrower as a “Disqualified Institution” by written notice to the Administrative Agent (including by posting such notice to the Platform) not less than 5 Business Days prior to such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it is understood and agreed that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 xml:space="preserve">shall be updated from time to time by the Borrower to add any Disqualified Institution designated pursuant to the foregoing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xml:space="preserve">, (ii) the Administrative Agent shall have the right, and the Borrower hereby expressly authorizes the Administrative Agent, to post </w:t>
      </w:r>
      <w:r>
        <w:rPr>
          <w:rFonts w:ascii="Times New Roman;sans-serif" w:hAnsi="Times New Roman;sans-serif"/>
          <w:b w:val="false"/>
          <w:color w:val="000000"/>
          <w:sz w:val="22"/>
          <w:u w:val="single"/>
        </w:rPr>
        <w:t>Schedule 1.01(b)</w:t>
      </w:r>
      <w:r>
        <w:rPr>
          <w:rFonts w:ascii="Times New Roman;sans-serif" w:hAnsi="Times New Roman;sans-serif"/>
          <w:b w:val="false"/>
          <w:color w:val="000000"/>
          <w:sz w:val="22"/>
        </w:rPr>
        <w:t xml:space="preserve">, and any updates thereto from time to time, on the Platform and to provide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to each Lender requesting the same, and (iii) “Disqualified Institutions” shall exclude any Person that the Borrower has designated as no longer being a “Disqualified Institution” by written notice delivered to the Administrative Agent. For the avoidance of doubt, with respect to any Person who becomes a Disqualified Institution after the date on which such Person has entered into a binding agreement to purchase or participate all or a portion of the rights and obligations of any Lender, such Person shall not retroactively be disqualified from being or becoming a Lender or a Participant,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Dollar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 lawful money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that is organized under the laws of any state of the United States or the District of Columbia.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of this definition, or (c) any financial institution established in an EEA Member Country which is a subsidiary of an institution described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Electronic Copy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11.17</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Electronic Record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shall have the meanings assigned to them, respectively, by 15 USC §7006, as it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Eligible Assignee</w:t>
      </w:r>
      <w:r>
        <w:rPr>
          <w:color w:val="000000"/>
        </w:rPr>
        <w:t xml:space="preserve">” </w:t>
      </w:r>
      <w:r>
        <w:rPr>
          <w:rFonts w:ascii="Times New Roman;sans-serif" w:hAnsi="Times New Roman;sans-serif"/>
          <w:b w:val="false"/>
          <w:color w:val="000000"/>
          <w:sz w:val="22"/>
        </w:rPr>
        <w:t xml:space="preserve">means any Person that meets the requirements to be an assignee under </w:t>
      </w:r>
      <w:r>
        <w:rPr>
          <w:rFonts w:ascii="Times New Roman;sans-serif" w:hAnsi="Times New Roman;sans-serif"/>
          <w:b w:val="false"/>
          <w:color w:val="000000"/>
          <w:sz w:val="22"/>
          <w:u w:val="single"/>
        </w:rPr>
        <w:t>Sections 11.06(b)(iii)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(v)</w:t>
      </w:r>
      <w:r>
        <w:rPr>
          <w:color w:val="000000"/>
        </w:rPr>
        <w:t xml:space="preserve"> </w:t>
      </w:r>
      <w:r>
        <w:rPr>
          <w:rFonts w:ascii="Times New Roman;sans-serif" w:hAnsi="Times New Roman;sans-serif"/>
          <w:b w:val="false"/>
          <w:color w:val="000000"/>
          <w:sz w:val="22"/>
        </w:rPr>
        <w:t xml:space="preserve">(subject to such consents, if any, as may be required under </w:t>
      </w:r>
      <w:r>
        <w:rPr>
          <w:rFonts w:ascii="Times New Roman;sans-serif" w:hAnsi="Times New Roman;sans-serif"/>
          <w:b w:val="false"/>
          <w:color w:val="000000"/>
          <w:sz w:val="22"/>
          <w:u w:val="single"/>
        </w:rPr>
        <w:t>Section 11.06(b)(iii)</w:t>
      </w:r>
      <w:r>
        <w:rPr>
          <w:rFonts w:ascii="Times New Roman;sans-serif" w:hAnsi="Times New Roman;sans-serif"/>
          <w:b w:val="false"/>
          <w:color w:val="000000"/>
          <w:sz w:val="22"/>
        </w:rPr>
        <w:t xml:space="preserve">). For the avoidance of doubt, any Disqualified Institution is subject to </w:t>
      </w:r>
      <w:r>
        <w:rPr>
          <w:rFonts w:ascii="Times New Roman;sans-serif" w:hAnsi="Times New Roman;sans-serif"/>
          <w:b w:val="false"/>
          <w:color w:val="000000"/>
          <w:sz w:val="22"/>
          <w:u w:val="single"/>
        </w:rPr>
        <w:t>Section 11.06(g)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any and all federal, state, local, foreign and other applicable statutes, laws, regulations, ordinances, rules, judgments, orders, decrees, permits, concessions, grants, franchises, licenses, agreements or governmental restrictions relating to pollution and the protection of the environment or the release of any Hazardous Materials.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Environmental Liability</w:t>
      </w:r>
      <w:r>
        <w:rPr>
          <w:color w:val="000000"/>
        </w:rPr>
        <w:t xml:space="preserve">” </w:t>
      </w:r>
      <w:r>
        <w:rPr>
          <w:rFonts w:ascii="Times New Roman;sans-serif" w:hAnsi="Times New Roman;sans-serif"/>
          <w:b w:val="false"/>
          <w:color w:val="000000"/>
          <w:sz w:val="22"/>
        </w:rPr>
        <w:t>means any liability, contingent or otherwise (including any liability for damages, costs of environmental remediation, fines, penalties or indemnities), of any Loan Party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Equity Issuance</w:t>
      </w:r>
      <w:r>
        <w:rPr>
          <w:color w:val="000000"/>
        </w:rPr>
        <w:t xml:space="preserve">” </w:t>
      </w:r>
      <w:r>
        <w:rPr>
          <w:rFonts w:ascii="Times New Roman;sans-serif" w:hAnsi="Times New Roman;sans-serif"/>
          <w:b w:val="false"/>
          <w:color w:val="000000"/>
          <w:sz w:val="22"/>
        </w:rPr>
        <w:t xml:space="preserve">means any issuance by any Loan Party or any Subsidiary to any Person of its Equity Interests, other than (a) any issuance of its Equity Interests pursuant to the exercise of options or warrants, (b) any issuance of its Equity Interests pursuant to the conversion of any debt securities to equity or the conversion of any class of equity securities to any other class of equity securities, (c) any issuance of options or warrants relating to its Equity Interests, (d) any issuance by the Borrower of its Equity Interests as consideration for a Permitted Acquisition, and (e) any issuance of debt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convertible into or exchangeable for Equity Interests. The term “Equity Issuance” shall not be deemed to include any Disposition.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under common control with the Borrower within the meaning of Section 414(b) or (c) of the Internal Revenue Code (and Sections 414(m) and (o) of the Internal Revenue Code for purposes of provisions relating to Section 412 of the Internal Revenue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or (h) the imposition of any liability under Title IV of ERISA, other than for PBGC premiums due but not delinquent under Section 4007 of ERISA, upon the Borrower or any ERISA Affiliate.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9.01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Property</w:t>
      </w:r>
      <w:r>
        <w:rPr>
          <w:color w:val="000000"/>
        </w:rPr>
        <w:t xml:space="preserve">” </w:t>
      </w:r>
      <w:r>
        <w:rPr>
          <w:rFonts w:ascii="Times New Roman;sans-serif" w:hAnsi="Times New Roman;sans-serif"/>
          <w:b w:val="false"/>
          <w:color w:val="000000"/>
          <w:sz w:val="22"/>
        </w:rPr>
        <w:t xml:space="preserve">means, with respect to any Loan Party, (a) any owned or leased real property, (b) any IP Rights for which a perfected Lien thereon is not effected either by filing of a Uniform Commercial Code financing statement or by appropriate evidence of such Lien being filed in either the United States Copyright Office or the United States Patent and Trademark Office, (c) any personal property (other than personal property described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above) for which the creation, attachment or perfection of a Lien thereon is not governed by the Uniform Commercial Code, (d) the Equity Interests and/or personal property of any Subsidiary of any Loan Party to the extent such pledge would violate applicable Law, (e) the Equity Interests of any Subsidiary of a Loan Party that is an Omitted Subsidiary, unless requested by the Administrative Agent or the Required Lenders, (f) the personal property of any Subsidiary that is a Limited Guarantor (other than the Equity Interests of any direct Subsidiary of such Limited Guarantor to the extent such Equity Interests are required to be pledged pursuant to </w:t>
      </w:r>
      <w:r>
        <w:rPr>
          <w:rFonts w:ascii="Times New Roman;sans-serif" w:hAnsi="Times New Roman;sans-serif"/>
          <w:b w:val="false"/>
          <w:color w:val="000000"/>
          <w:sz w:val="22"/>
          <w:u w:val="single"/>
        </w:rPr>
        <w:t>Section 7.14(a)</w:t>
      </w:r>
      <w:r>
        <w:rPr>
          <w:rFonts w:ascii="Times New Roman;sans-serif" w:hAnsi="Times New Roman;sans-serif"/>
          <w:b w:val="false"/>
          <w:color w:val="000000"/>
          <w:sz w:val="22"/>
        </w:rPr>
        <w:t xml:space="preserve">), (g) any property which, subject to the terms of </w:t>
      </w:r>
      <w:r>
        <w:rPr>
          <w:rFonts w:ascii="Times New Roman;sans-serif" w:hAnsi="Times New Roman;sans-serif"/>
          <w:b w:val="false"/>
          <w:color w:val="000000"/>
          <w:sz w:val="22"/>
          <w:u w:val="single"/>
        </w:rPr>
        <w:t>Section 8.09</w:t>
      </w:r>
      <w:r>
        <w:rPr>
          <w:rFonts w:ascii="Times New Roman;sans-serif" w:hAnsi="Times New Roman;sans-serif"/>
          <w:b w:val="false"/>
          <w:color w:val="000000"/>
          <w:sz w:val="22"/>
        </w:rPr>
        <w:t xml:space="preserve">, is subject to a Lien of the type described in </w:t>
      </w:r>
      <w:r>
        <w:rPr>
          <w:rFonts w:ascii="Times New Roman;sans-serif" w:hAnsi="Times New Roman;sans-serif"/>
          <w:b w:val="false"/>
          <w:color w:val="000000"/>
          <w:sz w:val="22"/>
          <w:u w:val="single"/>
        </w:rPr>
        <w:t>Section 8.01(i)</w:t>
      </w:r>
      <w:r>
        <w:rPr>
          <w:color w:val="000000"/>
        </w:rPr>
        <w:t xml:space="preserve"> </w:t>
      </w:r>
      <w:r>
        <w:rPr>
          <w:rFonts w:ascii="Times New Roman;sans-serif" w:hAnsi="Times New Roman;sans-serif"/>
          <w:b w:val="false"/>
          <w:color w:val="000000"/>
          <w:sz w:val="22"/>
        </w:rPr>
        <w:t>pursuant to documents which prohibit such Loan Party from granting any other Liens in such property, (h) any assets of StoneX (Netherlands) BV, including any Equity Interests of any direct Foreign Subsidiary of StoneX (Netherlands) BV, (i) any assets of any Foreign Loan Party (other than StoneX (Netherlands) BV) as to which the Administrative Agent and the Borrower agree in writing that the cost or other consequences of obtaining a security interest therein or perfection thereof are excessive in view of the benefits to be obtained by the holders of the Obligations therefrom, (j) deposit accounts established solely for the purpose of funding payroll, payroll taxes, withholding tax, employee wage and benefit payments and other tax and employee fiduciary accounts, and (k) any asset as to which the Administrative Agent and the Borrower agree in writing that the cost or other consequences of obtaining a security interest therein or perfection thereof are excessive in view of the benefits to be obtained by the holders of the Obligations therefrom.</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Swap Obligation</w:t>
      </w:r>
      <w:r>
        <w:rPr>
          <w:color w:val="000000"/>
        </w:rPr>
        <w:t xml:space="preserve">” </w:t>
      </w:r>
      <w:r>
        <w:rPr>
          <w:rFonts w:ascii="Times New Roman;sans-serif" w:hAnsi="Times New Roman;sans-serif"/>
          <w:b w:val="false"/>
          <w:color w:val="000000"/>
          <w:sz w:val="22"/>
        </w:rPr>
        <w:t xml:space="preserve">means, with respect to any Guarantor, any Swap Obligation if, and to the extent that, all or a portion of the Guaranty of such Guarantor of, or the grant under a Loan Document by such Guarantor of a security interest to secure, such Swap Obligation (or any Guarantee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thereof) is or becomes illegal under the Commodity Exchange Act (or the application or official interpretation thereof) by virtue of such Guarantor’s failure for any reason to constitute an “eligible contract participant” as defined in the Commodity Exchange Act (determined after giving effect to Section 2(h) of the Guaranty Agreement and any and all guarantees 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to only the portion of such Swap Obligation that is attributable to Swap Contracts for which such Guaranty or security interest is or becomes illegal.</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Subsidiary</w:t>
      </w:r>
      <w:r>
        <w:rPr>
          <w:color w:val="000000"/>
        </w:rPr>
        <w:t xml:space="preserve">” </w:t>
      </w:r>
      <w:r>
        <w:rPr>
          <w:rFonts w:ascii="Times New Roman;sans-serif" w:hAnsi="Times New Roman;sans-serif"/>
          <w:b w:val="false"/>
          <w:color w:val="000000"/>
          <w:sz w:val="22"/>
        </w:rPr>
        <w:t xml:space="preserve">any Subsidiary (a) that is identified as of the Seventh Amendment Effective Date on </w:t>
      </w:r>
      <w:r>
        <w:rPr>
          <w:rFonts w:ascii="Times New Roman;sans-serif" w:hAnsi="Times New Roman;sans-serif"/>
          <w:b w:val="false"/>
          <w:color w:val="000000"/>
          <w:sz w:val="22"/>
          <w:u w:val="single"/>
        </w:rPr>
        <w:t>Schedule 6.13</w:t>
      </w:r>
      <w:r>
        <w:rPr>
          <w:color w:val="000000"/>
        </w:rPr>
        <w:t xml:space="preserve"> </w:t>
      </w:r>
      <w:r>
        <w:rPr>
          <w:rFonts w:ascii="Times New Roman;sans-serif" w:hAnsi="Times New Roman;sans-serif"/>
          <w:b w:val="false"/>
          <w:color w:val="000000"/>
          <w:sz w:val="22"/>
        </w:rPr>
        <w:t>as an “Excluded Subsidiary”, (b) that is subject to regulation by a Governmental Authority which prohibits such Subsidiary from being a Guarantor or which imposes a minimum net capital requirement on such Subsidiary that would be materially and adversely affected by the continuation of such Guaranty, (c) that is prohibited by applicable Law from being a Guarantor under the Loan Documents (as established by the Borrower to the satisfaction of the Administrative Agent), or (d) to the extent the Administrative Agent and the Borrower mutually agree the cost of making such Subsidiary a Guarantor outweighs the benefits to the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sans-serif" w:hAnsi="Times New Roman;sans-serif"/>
          <w:b w:val="false"/>
          <w:color w:val="000000"/>
          <w:sz w:val="22"/>
          <w:u w:val="single"/>
        </w:rPr>
        <w:t>Section 11.13</w:t>
      </w:r>
      <w:r>
        <w:rPr>
          <w:rFonts w:ascii="Times New Roman;sans-serif" w:hAnsi="Times New Roman;sans-serif"/>
          <w:b w:val="false"/>
          <w:color w:val="000000"/>
          <w:sz w:val="22"/>
        </w:rPr>
        <w:t xml:space="preserve">) or (ii) such Lender changes its Lending Office, except in each case to the extent that, pursuant to </w:t>
      </w:r>
      <w:r>
        <w:rPr>
          <w:rFonts w:ascii="Times New Roman;sans-serif" w:hAnsi="Times New Roman;sans-serif"/>
          <w:b w:val="false"/>
          <w:color w:val="000000"/>
          <w:sz w:val="22"/>
          <w:u w:val="single"/>
        </w:rPr>
        <w:t>Section 3.01(a)(ii)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3.01(a)(iii)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3.01(c)</w:t>
      </w:r>
      <w:r>
        <w:rPr>
          <w:rFonts w:ascii="Times New Roman;sans-serif" w:hAnsi="Times New Roman;sans-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and (d) any withholding Taxes imposed pursuant to FATCA.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5.01(h)</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Existing Letters of Credit</w:t>
      </w:r>
      <w:r>
        <w:rPr>
          <w:color w:val="000000"/>
        </w:rPr>
        <w:t xml:space="preserve">” </w:t>
      </w:r>
      <w:r>
        <w:rPr>
          <w:rFonts w:ascii="Times New Roman;sans-serif" w:hAnsi="Times New Roman;sans-serif"/>
          <w:b w:val="false"/>
          <w:color w:val="000000"/>
          <w:sz w:val="22"/>
        </w:rPr>
        <w:t xml:space="preserve">means the letters of credit described on </w:t>
      </w:r>
      <w:r>
        <w:rPr>
          <w:rFonts w:ascii="Times New Roman;sans-serif" w:hAnsi="Times New Roman;sans-serif"/>
          <w:b w:val="false"/>
          <w:color w:val="000000"/>
          <w:sz w:val="22"/>
          <w:u w:val="single"/>
        </w:rPr>
        <w:t>Schedule 1.01(a)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Facility</w:t>
      </w:r>
      <w:r>
        <w:rPr>
          <w:color w:val="000000"/>
        </w:rPr>
        <w:t xml:space="preserve">” </w:t>
      </w:r>
      <w:r>
        <w:rPr>
          <w:rFonts w:ascii="Times New Roman;sans-serif" w:hAnsi="Times New Roman;sans-serif"/>
          <w:b w:val="false"/>
          <w:color w:val="000000"/>
          <w:sz w:val="22"/>
        </w:rPr>
        <w:t>means an Incremental Term Facility or the Aggregate Revolving Commitments, as the context may require.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FASB ASC</w:t>
      </w:r>
      <w:r>
        <w:rPr>
          <w:color w:val="000000"/>
        </w:rPr>
        <w:t xml:space="preserve">” </w:t>
      </w:r>
      <w:r>
        <w:rPr>
          <w:rFonts w:ascii="Times New Roman;sans-serif" w:hAnsi="Times New Roman;sans-serif"/>
          <w:b w:val="false"/>
          <w:color w:val="000000"/>
          <w:sz w:val="22"/>
        </w:rPr>
        <w:t>means the Accounting Standards Codification of the Financial Accounting Standards Board.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Internal Revenue Code, as of the Closing Date (or any amended or successor version that is substantively comparable and not materially more onerous to comply with) and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Federal Funds Rate</w:t>
      </w:r>
      <w:r>
        <w:rPr>
          <w:color w:val="000000"/>
        </w:rPr>
        <w:t xml:space="preserve">” </w:t>
      </w:r>
      <w:r>
        <w:rPr>
          <w:rFonts w:ascii="Times New Roman;sans-serif" w:hAnsi="Times New Roman;sans-serif"/>
          <w:b w:val="false"/>
          <w:color w:val="000000"/>
          <w:sz w:val="22"/>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New York as the federal funds effective rate;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if the Federal Funds Rate as so determined would be less than zero, such rate shall be deemed to be zero for the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Fee Letter</w:t>
      </w:r>
      <w:r>
        <w:rPr>
          <w:color w:val="000000"/>
        </w:rPr>
        <w:t xml:space="preserve">” </w:t>
      </w:r>
      <w:r>
        <w:rPr>
          <w:rFonts w:ascii="Times New Roman;sans-serif" w:hAnsi="Times New Roman;sans-serif"/>
          <w:b w:val="false"/>
          <w:color w:val="000000"/>
          <w:sz w:val="22"/>
        </w:rPr>
        <w:t>means the letter agreement, dated March 29, 2022 among the Borrower, the Administrative Agent and BofA Securities.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Financial Covenant</w:t>
      </w:r>
      <w:r>
        <w:rPr>
          <w:color w:val="000000"/>
        </w:rPr>
        <w:t xml:space="preserve">” </w:t>
      </w:r>
      <w:r>
        <w:rPr>
          <w:rFonts w:ascii="Times New Roman;sans-serif" w:hAnsi="Times New Roman;sans-serif"/>
          <w:b w:val="false"/>
          <w:color w:val="000000"/>
          <w:sz w:val="22"/>
        </w:rPr>
        <w:t xml:space="preserve">means each of the covenants specified in </w:t>
      </w:r>
      <w:r>
        <w:rPr>
          <w:rFonts w:ascii="Times New Roman;sans-serif" w:hAnsi="Times New Roman;sans-serif"/>
          <w:b w:val="false"/>
          <w:color w:val="000000"/>
          <w:sz w:val="22"/>
          <w:u w:val="single"/>
        </w:rPr>
        <w:t>Section 8.11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First Amendment Effective Date</w:t>
      </w:r>
      <w:r>
        <w:rPr>
          <w:color w:val="000000"/>
        </w:rPr>
        <w:t xml:space="preserve">” </w:t>
      </w:r>
      <w:r>
        <w:rPr>
          <w:rFonts w:ascii="Times New Roman;sans-serif" w:hAnsi="Times New Roman;sans-serif"/>
          <w:b w:val="false"/>
          <w:color w:val="000000"/>
          <w:sz w:val="22"/>
        </w:rPr>
        <w:t>means January 29, 2020.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Foreign Loan Party</w:t>
      </w:r>
      <w:r>
        <w:rPr>
          <w:color w:val="000000"/>
        </w:rPr>
        <w:t xml:space="preserve">” </w:t>
      </w:r>
      <w:r>
        <w:rPr>
          <w:rFonts w:ascii="Times New Roman;sans-serif" w:hAnsi="Times New Roman;sans-serif"/>
          <w:b w:val="false"/>
          <w:color w:val="000000"/>
          <w:sz w:val="22"/>
        </w:rPr>
        <w:t>means any Guarantor that is a Foreign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any Subsidiary that is not a Domestic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FRB</w:t>
      </w:r>
      <w:r>
        <w:rPr>
          <w:color w:val="000000"/>
        </w:rPr>
        <w:t xml:space="preserve">” </w:t>
      </w:r>
      <w:r>
        <w:rPr>
          <w:rFonts w:ascii="Times New Roman;sans-serif" w:hAnsi="Times New Roman;sans-serif"/>
          <w:b w:val="false"/>
          <w:color w:val="000000"/>
          <w:sz w:val="22"/>
        </w:rPr>
        <w:t>means the Board of Governors of the Federal Reserve System of the United States.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Fronting Exposure</w:t>
      </w:r>
      <w:r>
        <w:rPr>
          <w:color w:val="000000"/>
        </w:rPr>
        <w:t xml:space="preserve">” </w:t>
      </w:r>
      <w:r>
        <w:rPr>
          <w:rFonts w:ascii="Times New Roman;sans-serif" w:hAnsi="Times New Roman;sans-serif"/>
          <w:b w:val="false"/>
          <w:color w:val="000000"/>
          <w:sz w:val="22"/>
        </w:rPr>
        <w:t>means, at any time there is a Defaulting Lender, (a) with respect to the L/C Issuer, such Defaulting Lender’s Applicable Revolving Percentage of the outstanding L/C Obligations other than L/C Obligations as to which such Defaulting Lender’s participation obligation has been reallocated to other Revolving Lenders or Cash Collateralized in accordance with the terms hereof, and (b) with respect to the Swing Line Lender, such Defaulting Lender’s Applicable Revolving Percentage of Swing Line Loans other than Swing Line Loans as to which such Defaulting Lender’s participation obligation has been reallocated to other Revolving Lenders in accordance with the terms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Fund</w:t>
      </w:r>
      <w:r>
        <w:rPr>
          <w:color w:val="000000"/>
        </w:rPr>
        <w:t xml:space="preserve">” </w:t>
      </w:r>
      <w:r>
        <w:rPr>
          <w:rFonts w:ascii="Times New Roman;sans-serif" w:hAnsi="Times New Roman;sans-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consistently applied and as in effect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GCAP</w:t>
      </w:r>
      <w:r>
        <w:rPr>
          <w:color w:val="000000"/>
        </w:rPr>
        <w:t xml:space="preserve">” </w:t>
      </w:r>
      <w:r>
        <w:rPr>
          <w:rFonts w:ascii="Times New Roman;sans-serif" w:hAnsi="Times New Roman;sans-serif"/>
          <w:b w:val="false"/>
          <w:color w:val="000000"/>
          <w:sz w:val="22"/>
        </w:rPr>
        <w:t>means GAIN Capital Holdings, Inc., a Delaware corporation.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GCAP Acquisition</w:t>
      </w:r>
      <w:r>
        <w:rPr>
          <w:color w:val="000000"/>
        </w:rPr>
        <w:t xml:space="preserve">” </w:t>
      </w:r>
      <w:r>
        <w:rPr>
          <w:rFonts w:ascii="Times New Roman;sans-serif" w:hAnsi="Times New Roman;sans-serif"/>
          <w:b w:val="false"/>
          <w:color w:val="000000"/>
          <w:sz w:val="22"/>
        </w:rPr>
        <w:t>means the Acquisition by the Borrower of GCAP pursuant to, and in accordance with the terms and conditions of, the GCAP Merger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GCAP Merger Agreement</w:t>
      </w:r>
      <w:r>
        <w:rPr>
          <w:color w:val="000000"/>
        </w:rPr>
        <w:t xml:space="preserve">” </w:t>
      </w:r>
      <w:r>
        <w:rPr>
          <w:rFonts w:ascii="Times New Roman;sans-serif" w:hAnsi="Times New Roman;sans-serif"/>
          <w:b w:val="false"/>
          <w:color w:val="000000"/>
          <w:sz w:val="22"/>
        </w:rPr>
        <w:t>means that certain Agreement and Plan of Merger, dated as of February 26, 2020, among GCAP, the Borrower and Golf Merger Sub I Inc., a Delaware corporation and a wholly owned subsidiary of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means, as to any Person, (a) any obligation, contingent or otherwise, of such Person guaranteeing or having the economic effect of guaranteeing any Indebtedness or other obligation payable or performable by another Person (the “</w:t>
      </w:r>
      <w:r>
        <w:rPr>
          <w:rFonts w:ascii="Times New Roman;sans-serif" w:hAnsi="Times New Roman;sans-serif"/>
          <w:b w:val="false"/>
          <w:color w:val="000000"/>
          <w:sz w:val="22"/>
          <w:u w:val="single"/>
        </w:rPr>
        <w:t>primary obligor</w:t>
      </w:r>
      <w:r>
        <w:rPr>
          <w:color w:val="000000"/>
        </w:rPr>
        <w:t>”</w:t>
      </w:r>
      <w:r>
        <w:rPr>
          <w:rFonts w:ascii="Times New Roman;sans-serif" w:hAnsi="Times New Roman;sans-serif"/>
          <w:b w:val="false"/>
          <w:color w:val="000000"/>
          <w:sz w:val="22"/>
        </w:rPr>
        <w:t xml:space="preserve">) in any manner, whether directly or indirectly,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 xml:space="preserve">” </w:t>
      </w:r>
      <w:r>
        <w:rPr>
          <w:rFonts w:ascii="Times New Roman;sans-serif" w:hAnsi="Times New Roman;sans-serif"/>
          <w:b w:val="false"/>
          <w:color w:val="000000"/>
          <w:sz w:val="22"/>
        </w:rPr>
        <w:t xml:space="preserve">means, collectively, (a) each Subsidiary of the Borrower identified as a “Guarantor” on the signature pages to the Guaranty Agreement, (b) each Person that joins the Loan Documents as a Guarantor pursuant to </w:t>
      </w:r>
      <w:r>
        <w:rPr>
          <w:rFonts w:ascii="Times New Roman;sans-serif" w:hAnsi="Times New Roman;sans-serif"/>
          <w:b w:val="false"/>
          <w:color w:val="000000"/>
          <w:sz w:val="22"/>
          <w:u w:val="single"/>
        </w:rPr>
        <w:t>Section 7.13</w:t>
      </w:r>
      <w:r>
        <w:rPr>
          <w:color w:val="000000"/>
        </w:rPr>
        <w:t xml:space="preserve"> </w:t>
      </w:r>
      <w:r>
        <w:rPr>
          <w:rFonts w:ascii="Times New Roman;sans-serif" w:hAnsi="Times New Roman;sans-serif"/>
          <w:b w:val="false"/>
          <w:color w:val="000000"/>
          <w:sz w:val="22"/>
        </w:rPr>
        <w:t>or otherwise, (c) with respect to (i) Obligations under any Secured Hedge Agreement, (ii) Obligations under any Secured Cash Management Agreement and (iii) any Swap Obligation of a Specified Loan Party (determined before giving effect to Sections 2(a) and 2(h) of the Guaranty Agreement) under the Guaranty, the Borrower, and (d) the successors and permitted assigns of the foregoing. Notwithstanding anything to the contrary contained herein, the Excluded Subsidiaries shall not be Guarantors.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Guaranty</w:t>
      </w:r>
      <w:r>
        <w:rPr>
          <w:color w:val="000000"/>
        </w:rPr>
        <w:t xml:space="preserve">” </w:t>
      </w:r>
      <w:r>
        <w:rPr>
          <w:rFonts w:ascii="Times New Roman;sans-serif" w:hAnsi="Times New Roman;sans-serif"/>
          <w:b w:val="false"/>
          <w:color w:val="000000"/>
          <w:sz w:val="22"/>
        </w:rPr>
        <w:t>means the Guaranty made by the Guarantors in favor of the Administrative Agent and the other holders of the Obligations pursuant to the Guaranty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Guaranty Agreement</w:t>
      </w:r>
      <w:r>
        <w:rPr>
          <w:color w:val="000000"/>
        </w:rPr>
        <w:t xml:space="preserve">” </w:t>
      </w:r>
      <w:r>
        <w:rPr>
          <w:rFonts w:ascii="Times New Roman;sans-serif" w:hAnsi="Times New Roman;sans-serif"/>
          <w:b w:val="false"/>
          <w:color w:val="000000"/>
          <w:sz w:val="22"/>
        </w:rPr>
        <w:t>means the amended and restated guaranty agreement, dated as of the Closing Date, executed in favor of the Administrative Agent by each of the Guarantors.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Hedge Bank</w:t>
      </w:r>
      <w:r>
        <w:rPr>
          <w:color w:val="000000"/>
        </w:rPr>
        <w:t xml:space="preserve">” </w:t>
      </w:r>
      <w:r>
        <w:rPr>
          <w:rFonts w:ascii="Times New Roman;sans-serif" w:hAnsi="Times New Roman;sans-serif"/>
          <w:b w:val="false"/>
          <w:color w:val="000000"/>
          <w:sz w:val="22"/>
        </w:rPr>
        <w:t>means any Person that (a) at the time it enters into a Swap Contract, is a Lender or the Administrative Agent or an Affiliate of a Lender or the Administrative Agent, (b) in the case of any Swap Contract in effect on or prior to the Closing Date, is, as of the Closing Date or within 30 days thereafter, a Lender or the Administrative Agent or an Affiliate of a Lender or the Administrative Agent and a party to a Swap Contract or (c) within 30 days after the time it enters into the applicable Swap Contract, becomes a Lender, the Administrative Agent or an Affiliate of a Lender or the Administrative Agent, in each case, in its capacity as a party to such Swap Contract (including any assignee of a Person that was itself a Hedge Bank with respect to a Swap Contract at the time of the assignment thereof) and without regard to whether such Person subsequently ceases to be a Lender, the Administrative Agent, or an Affiliate of a Lender or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Honor Date</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IFRS</w:t>
      </w:r>
      <w:r>
        <w:rPr>
          <w:color w:val="000000"/>
        </w:rPr>
        <w:t xml:space="preserve">” </w:t>
      </w:r>
      <w:r>
        <w:rPr>
          <w:rFonts w:ascii="Times New Roman;sans-serif" w:hAnsi="Times New Roman;sans-serif"/>
          <w:b w:val="false"/>
          <w:color w:val="000000"/>
          <w:sz w:val="22"/>
        </w:rPr>
        <w:t>means international accounting standards within the meaning of IAS Regulation 1606/2002 to the extent applicable to the relevant financial statements delivered under or referred to herein.</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Facility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Facility Amendment Document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Term Borrowing</w:t>
      </w:r>
      <w:r>
        <w:rPr>
          <w:color w:val="000000"/>
        </w:rPr>
        <w:t xml:space="preserve">” </w:t>
      </w:r>
      <w:r>
        <w:rPr>
          <w:rFonts w:ascii="Times New Roman;sans-serif" w:hAnsi="Times New Roman;sans-serif"/>
          <w:b w:val="false"/>
          <w:color w:val="000000"/>
          <w:sz w:val="22"/>
        </w:rPr>
        <w:t>means, with respect to any Incremental Term Facility, a borrowing under such Incremental Term Facility consisting of simultaneous Incremental Term Loans of the same Type and, in the case of Term SOFR Loans, having the same Interest Period made by Incremental Term Lenders under such Incremental Term Facility pursuant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Term Commitment</w:t>
      </w:r>
      <w:r>
        <w:rPr>
          <w:color w:val="000000"/>
        </w:rPr>
        <w:t xml:space="preserve">” </w:t>
      </w:r>
      <w:r>
        <w:rPr>
          <w:rFonts w:ascii="Times New Roman;sans-serif" w:hAnsi="Times New Roman;sans-serif"/>
          <w:b w:val="false"/>
          <w:color w:val="000000"/>
          <w:sz w:val="22"/>
        </w:rPr>
        <w:t>means, with respect to any Incremental Term Facility, as to each Incremental Term Lender under such Incremental Term Facility, its obligation to make one or more Incremental Term Loans under such Incremental Term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Term Facility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Term Facility Agreement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Term Facility Maturity Date</w:t>
      </w:r>
      <w:r>
        <w:rPr>
          <w:color w:val="000000"/>
        </w:rPr>
        <w:t xml:space="preserve">” </w:t>
      </w:r>
      <w:r>
        <w:rPr>
          <w:rFonts w:ascii="Times New Roman;sans-serif" w:hAnsi="Times New Roman;sans-serif"/>
          <w:b w:val="false"/>
          <w:color w:val="000000"/>
          <w:sz w:val="22"/>
        </w:rPr>
        <w:t>means, with respect to any Incremental Term Facility, the maturity date of such Incremental Term Facility set forth in the Incremental Term Facility Agreement executed and delivered in connection with such Incremental Term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Term Lender</w:t>
      </w:r>
      <w:r>
        <w:rPr>
          <w:color w:val="000000"/>
        </w:rPr>
        <w:t xml:space="preserve">” </w:t>
      </w:r>
      <w:r>
        <w:rPr>
          <w:rFonts w:ascii="Times New Roman;sans-serif" w:hAnsi="Times New Roman;sans-serif"/>
          <w:b w:val="false"/>
          <w:color w:val="000000"/>
          <w:sz w:val="22"/>
        </w:rPr>
        <w:t>means, with respect to any Incremental Term Facility, (a) at any time on or prior to the first funding of the Incremental Term Loans under such Incremental Term Facility, any Person that has an Incremental Term Commitment under such Incremental Term Facility at such time, and (b) at any time thereafter, any Person that holds an Incremental Term Commitment or an Incremental Term Loan under such Incremental Term Facility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Incremental Term Loan</w:t>
      </w:r>
      <w:r>
        <w:rPr>
          <w:color w:val="000000"/>
        </w:rPr>
        <w:t xml:space="preserve">” </w:t>
      </w:r>
      <w:r>
        <w:rPr>
          <w:rFonts w:ascii="Times New Roman;sans-serif" w:hAnsi="Times New Roman;sans-serif"/>
          <w:b w:val="false"/>
          <w:color w:val="000000"/>
          <w:sz w:val="22"/>
        </w:rPr>
        <w:t>means, with respect to any Incremental Term Facility, an advance made by an Incremental Term Lender under such Incremental Term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as to any Person at a particular time, without duplication, all of the following, whether or not included as indebtedness or liabilities in accordance with GAAP:</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(i)all obligations for borrowed money and all obligations of such Person evidenced by bonds, debentures, notes, loan agreements or other similar instruments;</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(ii)the maximum amount available to be drawn under letters of credit (including standby and commercial), bankers’ acceptances, bank guaranties, surety bonds and similar instruments;</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(iii)the Swap Termination Value of any Swap Contract;</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(iv)all obligations to pay the deferred purchase price of property or services (other than (i) trade accounts and accrued expenses payable in the ordinary course of business and not past due for more than 60 days after the date on which such trade account or expense was created, (ii) trade accounts and accrued expenses payable that are being contested in good faith by appropriate proceedings diligently conducted and for which adequate reserves have been provided in accordance with GAAP, and (iii) earn-outs, hold-backs and other deferred payment of consideration in Permitted Acquisitions to the extent not required to be reflected as liabilities on the balance sheet of the Borrower and its Subsidiaries in accordance with GAAP);</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(provided that if such indebtedness is non-recourse to such Person, the amount of such Indebtedness shall be limited to the fair market value of the property subject to such Lien as at the date of determination);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(vi)all Attributable Indebtedness;</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 xml:space="preserve">(vii)all obligations to purchase, redeem, retire, defease or otherwise make any payment on any date that is earlier than the date that is ninety-one (91) days after the Latest Maturity Date in respect of any Equity Interests or any warrant, right or option to acquire such Equity Interest, valued, in the case of a redeemable preferred interest, at the greater of its voluntary or involuntary liquidation preference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accrued and unpaid dividends;</w:t>
      </w:r>
    </w:p>
    <w:p>
      <w:pPr>
        <w:pStyle w:val="TextBody"/>
        <w:bidi w:val="0"/>
        <w:spacing w:lineRule="auto" w:line="240" w:before="0" w:after="240"/>
        <w:ind w:left="0" w:right="0" w:firstLine="281"/>
        <w:jc w:val="both"/>
        <w:rPr>
          <w:rFonts w:ascii="Times New Roman;sans-serif" w:hAnsi="Times New Roman;sans-serif"/>
          <w:b w:val="false"/>
          <w:color w:val="000000"/>
          <w:sz w:val="22"/>
        </w:rPr>
      </w:pPr>
      <w:r>
        <w:rPr>
          <w:rFonts w:ascii="Times New Roman;sans-serif" w:hAnsi="Times New Roman;sans-serif"/>
          <w:b w:val="false"/>
          <w:color w:val="000000"/>
          <w:sz w:val="22"/>
        </w:rPr>
        <w:t>(viii)all Guarantees of such Person in respect of any of the foregoing; and</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(ix)all Indebtedness of the types referred to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above of any partnership or joint venture (other than a joint venture that is itself a corporation or limited liability company) in which such Person is a general partner or joint venturer, unless such Indebtedness is non-recourse to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 xml:space="preserve">means (a) Taxes, other than Excluded Taxes, imposed on or with respect to any payment made by or on account of any obligation of any Loan Party under any Loan Document and (b) to the extent not otherwise described in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Other Taxes.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Indemnitee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11.04(b)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11.07</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Intercreditor Agreement</w:t>
      </w:r>
      <w:r>
        <w:rPr>
          <w:color w:val="000000"/>
        </w:rPr>
        <w:t xml:space="preserve">” </w:t>
      </w:r>
      <w:r>
        <w:rPr>
          <w:rFonts w:ascii="Times New Roman;sans-serif" w:hAnsi="Times New Roman;sans-serif"/>
          <w:b w:val="false"/>
          <w:color w:val="000000"/>
          <w:sz w:val="22"/>
        </w:rPr>
        <w:t>means an intercreditor agreement by and between the Administrative Agent and the second lien agent for the Second Lien Debt, in form and substance satisfactory to the Administrative Agent, executed in connection with the issuance by the Borrower of the Second Lien Debt.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 xml:space="preserve">means: (a) as to any Term SOFR Loan, the last day of each Interest Period applicable to such Loan and the Maturity Date of the Facility under which such Term SOFR Loan was made;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if any Interest Period for a Term SOFR Loan exceeds three months, the respective dates that fall every three months after the beginning of such Interest Period shall also be Interest Payment Dates; and (b) as to any Base Rate Loan and any SOFR Daily Floating Rate Swing Line Loan, the last Business Day of each March, June, September and December and the Maturity Date of the Facility under which such Loan was made (with Swing Line Loans being deemed made under the Aggregate Revolving Commitments for purposes of this definition).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as to each Term SOFR Loan, the period commencing on the date such Term SOFR Loan is disbursed or converted to or continued as a Term SOFR Loan and ending on the date one, three or six months thereafter (in each case, subject to availability), as selected by the Borrower in its Loan Notice;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(iii)no Interest Period shall extend beyond the Maturity Date of the Facility under which such Loan was made.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Internal Revenue Code</w:t>
      </w:r>
      <w:r>
        <w:rPr>
          <w:color w:val="000000"/>
        </w:rPr>
        <w:t xml:space="preserve">” </w:t>
      </w:r>
      <w:r>
        <w:rPr>
          <w:rFonts w:ascii="Times New Roman;sans-serif" w:hAnsi="Times New Roman;sans-serif"/>
          <w:b w:val="false"/>
          <w:color w:val="000000"/>
          <w:sz w:val="22"/>
        </w:rPr>
        <w:t>means the Internal Revenue Code of 1986.</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Investment</w:t>
      </w:r>
      <w:r>
        <w:rPr>
          <w:color w:val="000000"/>
        </w:rPr>
        <w:t xml:space="preserve">” </w:t>
      </w:r>
      <w:r>
        <w:rPr>
          <w:rFonts w:ascii="Times New Roman;sans-serif" w:hAnsi="Times New Roman;sans-serif"/>
          <w:b w:val="false"/>
          <w:color w:val="000000"/>
          <w:sz w:val="22"/>
        </w:rPr>
        <w:t>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or (c) an Acquisition. For purposes of covenant compliance, the amount of any Investment shall be the amount actually invested, without adjustment for subsequent increases or decreases in the value of such Investment less all cash payments, cash dividends and cash distributions (or the fair market value of any non-cash payments, dividends and distributions received by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Involuntary Disposition</w:t>
      </w:r>
      <w:r>
        <w:rPr>
          <w:color w:val="000000"/>
        </w:rPr>
        <w:t xml:space="preserve">” </w:t>
      </w:r>
      <w:r>
        <w:rPr>
          <w:rFonts w:ascii="Times New Roman;sans-serif" w:hAnsi="Times New Roman;sans-serif"/>
          <w:b w:val="false"/>
          <w:color w:val="000000"/>
          <w:sz w:val="22"/>
        </w:rPr>
        <w:t>means any loss of, damage to or destruction of, or any condemnation or other taking for public use of, any property of any Loan Party or any Subsidiary.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IP Rights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6.17</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means the International Standby Practices, International Chamber of Commerce Publication No. 590 (or such later version thereof as may be in effect at the applicable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Issuer Documents</w:t>
      </w:r>
      <w:r>
        <w:rPr>
          <w:color w:val="000000"/>
        </w:rPr>
        <w:t xml:space="preserve">” </w:t>
      </w:r>
      <w:r>
        <w:rPr>
          <w:rFonts w:ascii="Times New Roman;sans-serif" w:hAnsi="Times New Roman;sans-serif"/>
          <w:b w:val="false"/>
          <w:color w:val="000000"/>
          <w:sz w:val="22"/>
        </w:rPr>
        <w:t>means with respect to any Letter of Credit, the Letter of Credit Application, and any other document, agreement and instrument entered into by the L/C Issuer and the Borrower (or any Subsidiary) or in favor of the L/C Issuer and relating to such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Joinder Agreement</w:t>
      </w:r>
      <w:r>
        <w:rPr>
          <w:color w:val="000000"/>
        </w:rPr>
        <w:t xml:space="preserve">” </w:t>
      </w:r>
      <w:r>
        <w:rPr>
          <w:rFonts w:ascii="Times New Roman;sans-serif" w:hAnsi="Times New Roman;sans-serif"/>
          <w:b w:val="false"/>
          <w:color w:val="000000"/>
          <w:sz w:val="22"/>
        </w:rPr>
        <w:t xml:space="preserve">means a joinder agreement substantially in the form of </w:t>
      </w:r>
      <w:r>
        <w:rPr>
          <w:rFonts w:ascii="Times New Roman;sans-serif" w:hAnsi="Times New Roman;sans-serif"/>
          <w:b w:val="false"/>
          <w:color w:val="000000"/>
          <w:sz w:val="22"/>
          <w:u w:val="single"/>
        </w:rPr>
        <w:t>Exhibit 7.13</w:t>
      </w:r>
      <w:r>
        <w:rPr>
          <w:color w:val="000000"/>
        </w:rPr>
        <w:t xml:space="preserve"> </w:t>
      </w:r>
      <w:r>
        <w:rPr>
          <w:rFonts w:ascii="Times New Roman;sans-serif" w:hAnsi="Times New Roman;sans-serif"/>
          <w:b w:val="false"/>
          <w:color w:val="000000"/>
          <w:sz w:val="22"/>
        </w:rPr>
        <w:t xml:space="preserve">executed and delivered by a Subsidiary in accordance with the provisions of </w:t>
      </w:r>
      <w:r>
        <w:rPr>
          <w:rFonts w:ascii="Times New Roman;sans-serif" w:hAnsi="Times New Roman;sans-serif"/>
          <w:b w:val="false"/>
          <w:color w:val="000000"/>
          <w:sz w:val="22"/>
          <w:u w:val="single"/>
        </w:rPr>
        <w:t>Section 7.13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Latest Maturity Date</w:t>
      </w:r>
      <w:r>
        <w:rPr>
          <w:color w:val="000000"/>
        </w:rPr>
        <w:t xml:space="preserve">” </w:t>
      </w:r>
      <w:r>
        <w:rPr>
          <w:rFonts w:ascii="Times New Roman;sans-serif" w:hAnsi="Times New Roman;sans-serif"/>
          <w:b w:val="false"/>
          <w:color w:val="000000"/>
          <w:sz w:val="22"/>
        </w:rPr>
        <w:t>means, at any date of determination, the latest Maturity Date in effect on such date.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Laws</w:t>
      </w:r>
      <w:r>
        <w:rPr>
          <w:color w:val="000000"/>
        </w:rPr>
        <w:t xml:space="preserve">” </w:t>
      </w:r>
      <w:r>
        <w:rPr>
          <w:rFonts w:ascii="Times New Roman;sans-serif" w:hAnsi="Times New Roman;sans-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Advance</w:t>
      </w:r>
      <w:r>
        <w:rPr>
          <w:color w:val="000000"/>
        </w:rPr>
        <w:t xml:space="preserve">” </w:t>
      </w:r>
      <w:r>
        <w:rPr>
          <w:rFonts w:ascii="Times New Roman;sans-serif" w:hAnsi="Times New Roman;sans-serif"/>
          <w:b w:val="false"/>
          <w:color w:val="000000"/>
          <w:sz w:val="22"/>
        </w:rPr>
        <w:t>means, with respect to each Revolving Lender, such Revolving Lender’s funding of its participation in any L/C Borrowing in accordance with its Applicable Revolving Percentage.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Borrowing</w:t>
      </w:r>
      <w:r>
        <w:rPr>
          <w:color w:val="000000"/>
        </w:rPr>
        <w:t xml:space="preserve">” </w:t>
      </w:r>
      <w:r>
        <w:rPr>
          <w:rFonts w:ascii="Times New Roman;sans-serif" w:hAnsi="Times New Roman;sans-serif"/>
          <w:b w:val="false"/>
          <w:color w:val="000000"/>
          <w:sz w:val="22"/>
        </w:rPr>
        <w:t>means an extension of credit resulting from a drawing under any Letter of Credit which has not been reimbursed on the date when made or refinanced as a Revolving Borrowing.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Commitment</w:t>
      </w:r>
      <w:r>
        <w:rPr>
          <w:color w:val="000000"/>
        </w:rPr>
        <w:t xml:space="preserve">” </w:t>
      </w:r>
      <w:r>
        <w:rPr>
          <w:rFonts w:ascii="Times New Roman;sans-serif" w:hAnsi="Times New Roman;sans-serif"/>
          <w:b w:val="false"/>
          <w:color w:val="000000"/>
          <w:sz w:val="22"/>
        </w:rPr>
        <w:t xml:space="preserve">means, with respect to the L/C Issuer, the commitment of the L/C Issuer to issue Letters of Credit hereunder. The initial amount of the L/C Issuer’s Letter of Credit Commitment is set forth on </w:t>
      </w:r>
      <w:r>
        <w:rPr>
          <w:rFonts w:ascii="Times New Roman;sans-serif" w:hAnsi="Times New Roman;sans-serif"/>
          <w:b w:val="false"/>
          <w:color w:val="000000"/>
          <w:sz w:val="22"/>
          <w:u w:val="single"/>
        </w:rPr>
        <w:t>Schedule 2.01</w:t>
      </w:r>
      <w:r>
        <w:rPr>
          <w:rFonts w:ascii="Times New Roman;sans-serif" w:hAnsi="Times New Roman;sans-serif"/>
          <w:b w:val="false"/>
          <w:color w:val="000000"/>
          <w:sz w:val="22"/>
        </w:rPr>
        <w:t>. The Letter of Credit Commitment of the L/C Issuer may be modified from time to time by agreement between the L/C Issuer and the Borrower, and notified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Credit Extension</w:t>
      </w:r>
      <w:r>
        <w:rPr>
          <w:color w:val="000000"/>
        </w:rPr>
        <w:t xml:space="preserve">” </w:t>
      </w:r>
      <w:r>
        <w:rPr>
          <w:rFonts w:ascii="Times New Roman;sans-serif" w:hAnsi="Times New Roman;sans-serif"/>
          <w:b w:val="false"/>
          <w:color w:val="000000"/>
          <w:sz w:val="22"/>
        </w:rPr>
        <w:t>means, with respect to any Letter of Credit, the issuance thereof or extension of the expiry date thereof, or the increase of the amount thereof.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Issuer</w:t>
      </w:r>
      <w:r>
        <w:rPr>
          <w:color w:val="000000"/>
        </w:rPr>
        <w:t xml:space="preserve">” </w:t>
      </w:r>
      <w:r>
        <w:rPr>
          <w:rFonts w:ascii="Times New Roman;sans-serif" w:hAnsi="Times New Roman;sans-serif"/>
          <w:b w:val="false"/>
          <w:color w:val="000000"/>
          <w:sz w:val="22"/>
        </w:rPr>
        <w:t>means Bank of America, through itself or through one of its designated Affiliates or branch offices, in its capacity as issuer of Letters of Credit hereunder, or any successor issuer of Letters of Credit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 Obligations</w:t>
      </w:r>
      <w:r>
        <w:rPr>
          <w:color w:val="000000"/>
        </w:rPr>
        <w:t xml:space="preserve">” </w:t>
      </w:r>
      <w:r>
        <w:rPr>
          <w:rFonts w:ascii="Times New Roman;sans-serif" w:hAnsi="Times New Roman;sans-serif"/>
          <w:b w:val="false"/>
          <w:color w:val="000000"/>
          <w:sz w:val="22"/>
        </w:rPr>
        <w:t xml:space="preserve">means, as at any date of determination, the aggregate amount available to be drawn under all outstanding Letters of Credit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aggregate of all Unreimbursed Amounts,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all L/C Borrowings. For purposes of computing the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LCA Test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1.03(e)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Lead Arranger</w:t>
      </w:r>
      <w:r>
        <w:rPr>
          <w:color w:val="000000"/>
        </w:rPr>
        <w:t xml:space="preserve">” </w:t>
      </w:r>
      <w:r>
        <w:rPr>
          <w:rFonts w:ascii="Times New Roman;sans-serif" w:hAnsi="Times New Roman;sans-serif"/>
          <w:b w:val="false"/>
          <w:color w:val="000000"/>
          <w:sz w:val="22"/>
        </w:rPr>
        <w:t>means each of BofA Securities and Capital One, National Association, in its respective capacities as a joint lead arranger and a joint bookrunner.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Lender Recipient Parties</w:t>
      </w:r>
      <w:r>
        <w:rPr>
          <w:color w:val="000000"/>
        </w:rPr>
        <w:t xml:space="preserve">” </w:t>
      </w:r>
      <w:r>
        <w:rPr>
          <w:rFonts w:ascii="Times New Roman;sans-serif" w:hAnsi="Times New Roman;sans-serif"/>
          <w:b w:val="false"/>
          <w:color w:val="000000"/>
          <w:sz w:val="22"/>
        </w:rPr>
        <w:t>mean collectively, the Lenders, the Swing Line Lender and the L/C Issuer.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means each of the Persons identified as a “Lender” on the signature pages hereto, each other Person that becomes a “Lender” in accordance with this Agreement and their permitted successors and assigns and, unless the context requires otherwise, includes the Swing Line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Lending Office</w:t>
      </w:r>
      <w:r>
        <w:rPr>
          <w:color w:val="000000"/>
        </w:rPr>
        <w:t xml:space="preserve">” </w:t>
      </w:r>
      <w:r>
        <w:rPr>
          <w:rFonts w:ascii="Times New Roman;sans-serif" w:hAnsi="Times New Roman;sans-serif"/>
          <w:b w:val="false"/>
          <w:color w:val="000000"/>
          <w:sz w:val="22"/>
        </w:rPr>
        <w:t>means, as to any Lender, the office or offices of such Lender described as such in such Lender’s Administrative Questionnaire, or such other office or offices as a Lender may from time to time notify the Borrower and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any letter of credit issued hereunder providing for the payment of cash upon the honoring of a presentation thereunder and shall include the Existing Letters of Credit. A Letter of Credit may be a commercial letter of credit or a standby letter of credit.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Application</w:t>
      </w:r>
      <w:r>
        <w:rPr>
          <w:color w:val="000000"/>
        </w:rPr>
        <w:t xml:space="preserve">” </w:t>
      </w:r>
      <w:r>
        <w:rPr>
          <w:rFonts w:ascii="Times New Roman;sans-serif" w:hAnsi="Times New Roman;sans-serif"/>
          <w:b w:val="false"/>
          <w:color w:val="000000"/>
          <w:sz w:val="22"/>
        </w:rPr>
        <w:t>means an application and agreement for the issuance or amendment of a letter of credit in the form from time to time in use by the L/C Issuer.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Expiration Date</w:t>
      </w:r>
      <w:r>
        <w:rPr>
          <w:color w:val="000000"/>
        </w:rPr>
        <w:t xml:space="preserve">” </w:t>
      </w:r>
      <w:r>
        <w:rPr>
          <w:rFonts w:ascii="Times New Roman;sans-serif" w:hAnsi="Times New Roman;sans-serif"/>
          <w:b w:val="false"/>
          <w:color w:val="000000"/>
          <w:sz w:val="22"/>
        </w:rPr>
        <w:t>means the day that is five (5) Business Days prior to the Revolving Maturity Date then in effect (or, if such day is not a Business Day, the next preceding Business Day).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Fee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2.03(h)</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Letter of Credit Sublimit</w:t>
      </w:r>
      <w:r>
        <w:rPr>
          <w:color w:val="000000"/>
        </w:rPr>
        <w:t xml:space="preserve">” </w:t>
      </w:r>
      <w:r>
        <w:rPr>
          <w:rFonts w:ascii="Times New Roman;sans-serif" w:hAnsi="Times New Roman;sans-serif"/>
          <w:b w:val="false"/>
          <w:color w:val="000000"/>
          <w:sz w:val="22"/>
        </w:rPr>
        <w:t>means an amount equal to the lesser of (a) the Aggregate Revolving Commitments and (b) $75,000,000. The Letter of Credit Sublimit is part of, and not in addition to, the Aggregate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Limited Condition Acquisition</w:t>
      </w:r>
      <w:r>
        <w:rPr>
          <w:color w:val="000000"/>
        </w:rPr>
        <w:t xml:space="preserve">” </w:t>
      </w:r>
      <w:r>
        <w:rPr>
          <w:rFonts w:ascii="Times New Roman;sans-serif" w:hAnsi="Times New Roman;sans-serif"/>
          <w:b w:val="false"/>
          <w:color w:val="000000"/>
          <w:sz w:val="22"/>
        </w:rPr>
        <w:t xml:space="preserve">means a Permitted Acquisition or other Investment permitted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whose consummation is not conditioned on the availability of, or on obtaining, third party financing.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Limited Condition Acquisition Agreement</w:t>
      </w:r>
      <w:r>
        <w:rPr>
          <w:color w:val="000000"/>
        </w:rPr>
        <w:t xml:space="preserve">” </w:t>
      </w:r>
      <w:r>
        <w:rPr>
          <w:rFonts w:ascii="Times New Roman;sans-serif" w:hAnsi="Times New Roman;sans-serif"/>
          <w:b w:val="false"/>
          <w:color w:val="000000"/>
          <w:sz w:val="22"/>
        </w:rPr>
        <w:t>means, with respect to any Limited Condition Acquisition, the definitive documentation for such Limited Condition Acquisition.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Limited Guarantor</w:t>
      </w:r>
      <w:r>
        <w:rPr>
          <w:color w:val="000000"/>
        </w:rPr>
        <w:t xml:space="preserve">” </w:t>
      </w:r>
      <w:r>
        <w:rPr>
          <w:rFonts w:ascii="Times New Roman;sans-serif" w:hAnsi="Times New Roman;sans-serif"/>
          <w:b w:val="false"/>
          <w:color w:val="000000"/>
          <w:sz w:val="22"/>
        </w:rPr>
        <w:t xml:space="preserve">means any Guarantor that (a) is identified as of the Seventh Amendment Effective Date on </w:t>
      </w:r>
      <w:r>
        <w:rPr>
          <w:rFonts w:ascii="Times New Roman;sans-serif" w:hAnsi="Times New Roman;sans-serif"/>
          <w:b w:val="false"/>
          <w:color w:val="000000"/>
          <w:sz w:val="22"/>
          <w:u w:val="single"/>
        </w:rPr>
        <w:t>Schedule 6.13</w:t>
      </w:r>
      <w:r>
        <w:rPr>
          <w:color w:val="000000"/>
        </w:rPr>
        <w:t xml:space="preserve"> </w:t>
      </w:r>
      <w:r>
        <w:rPr>
          <w:rFonts w:ascii="Times New Roman;sans-serif" w:hAnsi="Times New Roman;sans-serif"/>
          <w:b w:val="false"/>
          <w:color w:val="000000"/>
          <w:sz w:val="22"/>
        </w:rPr>
        <w:t xml:space="preserve">as a “Limited Guarantor”, or (b) is not required to grant a security interest in its personal property to secure the Obligations (other than the Equity Interests of any direct Subsidiary of such Guarantor to the extent such Equity Interests are required to be pledged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t>Section 7.14(a)</w:t>
      </w:r>
      <w:r>
        <w:rPr>
          <w:rFonts w:ascii="Times New Roman;sans-serif" w:hAnsi="Times New Roman;sans-serif"/>
          <w:b w:val="false"/>
          <w:color w:val="000000"/>
          <w:sz w:val="22"/>
        </w:rPr>
        <w:t>) because such Guarantor is (i) subject to regulation by a Governmental Authority which prohibits such Guarantor from granting such a security interest in its personal property to secure the Obligations, (ii) prohibited by applicable Law from granting such a security interest in its personal property to secure the Obligations (as established by the Borrower to the satisfaction of the Administrative Agent), and/or (iii) prohibited by a binding contractual obligation from granting such a security interest in its personal property to secure the Obligations (so long as such contractual obligation is permitted by this Agreement and is in existence at the time such Guarantor is acquired and not entered into by such Guarantor for the purpose of qualifying as a “Limited Guarantor”).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w:t>
      </w:r>
      <w:r>
        <w:rPr>
          <w:color w:val="000000"/>
        </w:rPr>
        <w:t xml:space="preserve">” </w:t>
      </w:r>
      <w:r>
        <w:rPr>
          <w:rFonts w:ascii="Times New Roman;sans-serif" w:hAnsi="Times New Roman;sans-serif"/>
          <w:b w:val="false"/>
          <w:color w:val="000000"/>
          <w:sz w:val="22"/>
        </w:rPr>
        <w:t xml:space="preserve">means an extension of credit by a Lender to the Borrower under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in the form of a Revolving Loan, an Incremental Term Loan or a Swing Line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this Agreement, the Guaranty Agreement, each Note, each Issuer Document, each Joinder Agreement, the Collateral Documents, the Fee Letter, the Intercreditor Agreement, any Subordination Agreement, and any Incremental Facility Amendment Document (including any Incremental Term Facility Agreement) (but specifically excluding Secured Hedge Agreements and any Secured Cash Management Agreements).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Notice</w:t>
      </w:r>
      <w:r>
        <w:rPr>
          <w:color w:val="000000"/>
        </w:rPr>
        <w:t xml:space="preserve">” </w:t>
      </w:r>
      <w:r>
        <w:rPr>
          <w:rFonts w:ascii="Times New Roman;sans-serif" w:hAnsi="Times New Roman;sans-serif"/>
          <w:b w:val="false"/>
          <w:color w:val="000000"/>
          <w:sz w:val="22"/>
        </w:rPr>
        <w:t xml:space="preserve">means a notice of (a) a Revolving Borrowing or an Incremental Term Borrowing, (b) a conversion of Revolving Loans or Incremental Term Loans from one Type to the other, or (c) a continuation of Term SOFR Loans, in each case pursuant to </w:t>
      </w:r>
      <w:r>
        <w:rPr>
          <w:rFonts w:ascii="Times New Roman;sans-serif" w:hAnsi="Times New Roman;sans-serif"/>
          <w:b w:val="false"/>
          <w:color w:val="000000"/>
          <w:sz w:val="22"/>
          <w:u w:val="single"/>
        </w:rPr>
        <w:t>Section 2.02(a)</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2.02</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collectively, the Borrower and each Guarantor.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Master Agreement</w:t>
      </w:r>
      <w:r>
        <w:rPr>
          <w:color w:val="000000"/>
        </w:rPr>
        <w:t xml:space="preserve">” </w:t>
      </w:r>
      <w:r>
        <w:rPr>
          <w:rFonts w:ascii="Times New Roman;sans-serif" w:hAnsi="Times New Roman;sans-serif"/>
          <w:b w:val="false"/>
          <w:color w:val="000000"/>
          <w:sz w:val="22"/>
        </w:rPr>
        <w:t>has the meaning specified in the definition of “Swap Contract.”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a material adverse change in, or a material adverse effect upon, the operations, business, properties, liabilities (actual or contingent) or condition (financial or otherwise) of the Borrower and its Subsidiaries taken as a whole; (b) a material impairment of the ability of any Loan Party to perform its obligations under any Loan Document to which it is a party; (c) a material adverse effect upon the legality, validity, binding effect or enforceability against any Loan Party of any Loan Document to which it is a party; or (d) a material impairment of the rights and remedies of the Administrative Agent or any Lender under the Loan Documents, taken as a whole.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means the Revolving Maturity Date or the applicable Incremental Term Facility Maturity Date, as the context may require.</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2"/>
          <w:u w:val="single"/>
        </w:rPr>
        <w:t>Maximum Rate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11.09</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Minimum Collateral Amount</w:t>
      </w:r>
      <w:r>
        <w:rPr>
          <w:color w:val="000000"/>
        </w:rPr>
        <w:t xml:space="preserve">” </w:t>
      </w:r>
      <w:r>
        <w:rPr>
          <w:rFonts w:ascii="Times New Roman;sans-serif" w:hAnsi="Times New Roman;sans-serif"/>
          <w:b w:val="false"/>
          <w:color w:val="000000"/>
          <w:sz w:val="22"/>
        </w:rPr>
        <w:t xml:space="preserve">means, at any time, (a) with respect to Cash Collateral consisting of cash or deposit account balances provided to reduce or eliminate Fronting Exposure during the existence of a Defaulting Lender, an amount equal to 105%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sans-serif" w:hAnsi="Times New Roman;sans-serif"/>
          <w:b w:val="false"/>
          <w:color w:val="000000"/>
          <w:sz w:val="22"/>
          <w:u w:val="single"/>
        </w:rPr>
        <w:t>Section 2.14(a)(i)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(a)(ii)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(a)(iii)</w:t>
      </w:r>
      <w:r>
        <w:rPr>
          <w:rFonts w:ascii="Times New Roman;sans-serif" w:hAnsi="Times New Roman;sans-serif"/>
          <w:b w:val="false"/>
          <w:color w:val="000000"/>
          <w:sz w:val="22"/>
        </w:rPr>
        <w:t>, an amount equal to 105% of the Outstanding Amount of all L/C Obligations, and (c) otherwise, an amount determined by the Administrative Agent and the L/C Issuer in their sole discretion.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 and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any employee benefit plan of the type described in Section 4001(a)(3) of ERISA, to which the Borrower or any ERISA Affiliate makes or is obligated to make contributions, or during the preceding five plan years, has made or been obligated to make contributions.</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Multiple Employer Plan</w:t>
      </w:r>
      <w:r>
        <w:rPr>
          <w:color w:val="000000"/>
        </w:rPr>
        <w:t xml:space="preserve">” </w:t>
      </w:r>
      <w:r>
        <w:rPr>
          <w:rFonts w:ascii="Times New Roman;sans-serif" w:hAnsi="Times New Roman;sans-serif"/>
          <w:b w:val="false"/>
          <w:color w:val="000000"/>
          <w:sz w:val="22"/>
        </w:rPr>
        <w:t>means a Plan which has two or more contributing sponsors (including the Borrower or any ERISA Affiliate) at least two of whom are not under common control, as such a plan is described in Section 4064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Net Cash Proceeds</w:t>
      </w:r>
      <w:r>
        <w:rPr>
          <w:color w:val="000000"/>
        </w:rPr>
        <w:t xml:space="preserve">” </w:t>
      </w:r>
      <w:r>
        <w:rPr>
          <w:rFonts w:ascii="Times New Roman;sans-serif" w:hAnsi="Times New Roman;sans-serif"/>
          <w:b w:val="false"/>
          <w:color w:val="000000"/>
          <w:sz w:val="22"/>
        </w:rPr>
        <w:t>means the aggregate cash or Cash Equivalents proceeds received by any Loan Party or any Subsidiary in respect of any Equity Issuance, net of (a) direct costs incurred in connection therewith (including legal, accounting and investment banking fees, sales commissions and change of control payments), and (b) taxes paid or payable as a result thereof (including the Borrower’s good faith estimate of taxes payable in future periods); it being understood that “Net Cash Proceeds” shall include any cash or Cash Equivalents received upon the sale or other disposition of any non-cash consideration received by any Loan Party or any Subsidiary in any Equity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 xml:space="preserve">means any Lender that does not approve any consent, waiver or amendment that (a) requires the approval of all Lenders or all affected Lenders in accordance with the terms of </w:t>
      </w:r>
      <w:r>
        <w:rPr>
          <w:rFonts w:ascii="Times New Roman;sans-serif" w:hAnsi="Times New Roman;sans-serif"/>
          <w:b w:val="false"/>
          <w:color w:val="000000"/>
          <w:sz w:val="22"/>
          <w:u w:val="single"/>
        </w:rPr>
        <w:t>Section 11.01</w:t>
      </w:r>
      <w:r>
        <w:rPr>
          <w:color w:val="000000"/>
        </w:rPr>
        <w:t xml:space="preserve"> </w:t>
      </w:r>
      <w:r>
        <w:rPr>
          <w:rFonts w:ascii="Times New Roman;sans-serif" w:hAnsi="Times New Roman;sans-serif"/>
          <w:b w:val="false"/>
          <w:color w:val="000000"/>
          <w:sz w:val="22"/>
        </w:rPr>
        <w:t>and (b) has been approved by the Required Lenders.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each Lender that is not a Defaulting Lender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Non-Extending Lender</w:t>
      </w:r>
      <w:r>
        <w:rPr>
          <w:color w:val="000000"/>
        </w:rPr>
        <w:t xml:space="preserve">” </w:t>
      </w:r>
      <w:r>
        <w:rPr>
          <w:rFonts w:ascii="Times New Roman;sans-serif" w:hAnsi="Times New Roman;sans-serif"/>
          <w:b w:val="false"/>
          <w:color w:val="000000"/>
          <w:sz w:val="22"/>
        </w:rPr>
        <w:t>means Flagstar Bank, N.A., and its permitted successors and assigns.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Non-Extension Notice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2.03(b)(iii)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2.11(a)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Notice of Loan Prepayment</w:t>
      </w:r>
      <w:r>
        <w:rPr>
          <w:color w:val="000000"/>
        </w:rPr>
        <w:t xml:space="preserve">” </w:t>
      </w:r>
      <w:r>
        <w:rPr>
          <w:rFonts w:ascii="Times New Roman;sans-serif" w:hAnsi="Times New Roman;sans-serif"/>
          <w:b w:val="false"/>
          <w:color w:val="000000"/>
          <w:sz w:val="22"/>
        </w:rPr>
        <w:t xml:space="preserve">means a notice of prepayment with respect to a Loan, which shall be substantially in the form of </w:t>
      </w:r>
      <w:r>
        <w:rPr>
          <w:rFonts w:ascii="Times New Roman;sans-serif" w:hAnsi="Times New Roman;sans-serif"/>
          <w:b w:val="false"/>
          <w:color w:val="000000"/>
          <w:sz w:val="22"/>
          <w:u w:val="single"/>
        </w:rPr>
        <w:t>Exhibit 2.05</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means, with respect to each Loan Party, (a) all advances to, and debts, liabilities, obligations, covenants and duties of, any Loan Party arising under any Loan Document or otherwise with respect to any Loan or Letter of Credit, and (b) all obligations of any Loan Party or any Subsidiary</w:t>
      </w:r>
      <w:r>
        <w:rPr>
          <w:color w:val="000000"/>
        </w:rPr>
        <w:t xml:space="preserve"> </w:t>
      </w:r>
      <w:r>
        <w:rPr>
          <w:rFonts w:ascii="Times New Roman;sans-serif" w:hAnsi="Times New Roman;sans-serif"/>
          <w:b w:val="false"/>
          <w:color w:val="000000"/>
          <w:sz w:val="22"/>
        </w:rPr>
        <w:t xml:space="preserve">owing to a Cash Management Bank or a Hedge Bank in respect of Secured Cash Management Agreements or Secured Hedge Agreements, in each case identified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“Obligations” of a Loan Party shall exclude any Excluded Swap Obligations with respect to such Loan Party.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 xml:space="preserve">means the Office of Foreign Assets Control of the United States Department of the Treasury.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Omitted Subsidiary</w:t>
      </w:r>
      <w:r>
        <w:rPr>
          <w:color w:val="000000"/>
        </w:rPr>
        <w:t xml:space="preserve">” </w:t>
      </w:r>
      <w:r>
        <w:rPr>
          <w:rFonts w:ascii="Times New Roman;sans-serif" w:hAnsi="Times New Roman;sans-serif"/>
          <w:b w:val="false"/>
          <w:color w:val="000000"/>
          <w:sz w:val="22"/>
        </w:rPr>
        <w:t>means each Subsidiary (a) that is identified as of the Seventh Amendment Effective Date on Schedule 1(a) to the Security Agreement as an “Omitted Subsidiary”, or (b) for which the Equity Interests thereof cannot be pledged to secure the Obligations because (i) such Subsidiary is subject to regulation by a Governmental Authority which prohibits the Equity Interests of such Subsidiary from being pledged to secure the Obligations, (ii) the Equity Interests of such Subsidiary are prohibited by applicable Law from being pledged to secure the Obligations (as established by the Borrower to the satisfaction of the Administrative Agent), and/or (iii) the Equity Interests of such Subsidiary are prohibited by a binding contractual obligation from being pledged to secure the Obligations (so long as such contractual obligation is permitted by this Agreement and is in existence at the time such Subsidiary is acquired and not entered into by such Subsidiary for the purpose of qualifying as an “Omitted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Organization Documents</w:t>
      </w:r>
      <w:r>
        <w:rPr>
          <w:color w:val="000000"/>
        </w:rPr>
        <w:t xml:space="preserve">” </w:t>
      </w:r>
      <w:r>
        <w:rPr>
          <w:rFonts w:ascii="Times New Roman;sans-serif" w:hAnsi="Times New Roman;sans-serif"/>
          <w:b w:val="false"/>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documents with respect to any non-U.S. jurisdiction); and (c) with respect to any partnership, joint venture, trust or other form of business entity, the partnership, joint venture or other applicable agreement of formation or organization (or equivalent or comparable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equivalent or comparable documents with respect to any non-U.S. jurisdiction).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3.06</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Outstanding Amount</w:t>
      </w:r>
      <w:r>
        <w:rPr>
          <w:color w:val="000000"/>
        </w:rPr>
        <w:t xml:space="preserve">” </w:t>
      </w:r>
      <w:r>
        <w:rPr>
          <w:rFonts w:ascii="Times New Roman;sans-serif" w:hAnsi="Times New Roman;sans-serif"/>
          <w:b w:val="false"/>
          <w:color w:val="000000"/>
          <w:sz w:val="22"/>
        </w:rPr>
        <w:t>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11.06(d)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11.06(d)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11.18</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or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Pension Funding Rules</w:t>
      </w:r>
      <w:r>
        <w:rPr>
          <w:color w:val="000000"/>
        </w:rPr>
        <w:t xml:space="preserve">” </w:t>
      </w:r>
      <w:r>
        <w:rPr>
          <w:rFonts w:ascii="Times New Roman;sans-serif" w:hAnsi="Times New Roman;sans-serif"/>
          <w:b w:val="false"/>
          <w:color w:val="000000"/>
          <w:sz w:val="22"/>
        </w:rPr>
        <w:t>means the rules of the Internal Revenue Code and ERISA regarding minimum required contributions (including any installment payment thereof) to Pension Plans and set forth in Section 412, 430, 431, 432 and 436 of the Internal Revenue Code and Sections 302, 303, 304 and 305 of ERISA.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Pension Plan</w:t>
      </w:r>
      <w:r>
        <w:rPr>
          <w:color w:val="000000"/>
        </w:rPr>
        <w:t xml:space="preserve">” </w:t>
      </w:r>
      <w:r>
        <w:rPr>
          <w:rFonts w:ascii="Times New Roman;sans-serif" w:hAnsi="Times New Roman;sans-serif"/>
          <w:b w:val="false"/>
          <w:color w:val="000000"/>
          <w:sz w:val="22"/>
        </w:rPr>
        <w:t>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Internal Revenue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Acquisition</w:t>
      </w:r>
      <w:r>
        <w:rPr>
          <w:color w:val="000000"/>
        </w:rPr>
        <w:t xml:space="preserve">” </w:t>
      </w:r>
      <w:r>
        <w:rPr>
          <w:rFonts w:ascii="Times New Roman;sans-serif" w:hAnsi="Times New Roman;sans-serif"/>
          <w:b w:val="false"/>
          <w:color w:val="000000"/>
          <w:sz w:val="22"/>
        </w:rPr>
        <w:t xml:space="preserve">means an Investment consisting of an Acquisition by any Loan Party or other Subsidiary of the Borrower;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 the property acquired (or the property of the Person acquired) in such Acquisition is used or useful in the same or a similar line of business as the Borrower and its Subsidiaries were engaged in on the Closing Date (or any reasonable extensions or expansions thereof), (b) in the case of an Acquisition of the Equity Interests of another Person, the board of directors (or other comparable governing body) of such other Person shall have duly approved such Acquisition, (c) for any Acquisition with aggregate consideration in excess of $1,000,000, the Borrower shall have delivered to the Administrative Agent a Pro Forma Compliance Certificate demonstrating that, upon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giving effect to such Acquisition, the Loan Parties would be in compliance with the Financial Covenants on a Pro Forma Basis, (d) except as otherwise provided in </w:t>
      </w:r>
      <w:r>
        <w:rPr>
          <w:rFonts w:ascii="Times New Roman;sans-serif" w:hAnsi="Times New Roman;sans-serif"/>
          <w:b w:val="false"/>
          <w:color w:val="000000"/>
          <w:sz w:val="22"/>
          <w:u w:val="single"/>
        </w:rPr>
        <w:t>Section 1.03(e)</w:t>
      </w:r>
      <w:r>
        <w:rPr>
          <w:rFonts w:ascii="Times New Roman;sans-serif" w:hAnsi="Times New Roman;sans-serif"/>
          <w:b w:val="false"/>
          <w:color w:val="000000"/>
          <w:sz w:val="22"/>
        </w:rPr>
        <w:t xml:space="preserve">, the representations and warranties made by the Loan Parties in each Loan Document shall be true and correct in all material respects at and as if made as of the date of such Acquisition (after giving effect thereto), (e) except as otherwise provided in </w:t>
      </w:r>
      <w:r>
        <w:rPr>
          <w:rFonts w:ascii="Times New Roman;sans-serif" w:hAnsi="Times New Roman;sans-serif"/>
          <w:b w:val="false"/>
          <w:color w:val="000000"/>
          <w:sz w:val="22"/>
          <w:u w:val="single"/>
        </w:rPr>
        <w:t>Section 1.03(e)</w:t>
      </w:r>
      <w:r>
        <w:rPr>
          <w:rFonts w:ascii="Times New Roman;sans-serif" w:hAnsi="Times New Roman;sans-serif"/>
          <w:b w:val="false"/>
          <w:color w:val="000000"/>
          <w:sz w:val="22"/>
        </w:rPr>
        <w:t xml:space="preserve">, immediately after giving effect to such Acquisition, the sum of (i) availability under the Aggregate Revolving Commitments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unrestricted cash and Cash Equivalents held by the Loan Parties at such time shall be at least $10,000,000, and (f) the aggregate cash and non-cash consideration (including any assumption of Indebtedness, deferred purchase price, any earn-out payments and Equity Interests issued (but excluding consideration financed with the proceeds of the issuance of common Equity Interests of the Borrower)) paid by the Borrower and its Subsidiaries for all such Acquisitions occurring during any fiscal year shall not exceed an amount equal to the greater of (i) $50,000,000, and (ii) ten percent (10%) of Consolidated Total Stockholders’ Equity (determined as of the end of the most recently ended fiscal year of the Borrower for which financial statements have been delivered pursuant to </w:t>
      </w:r>
      <w:r>
        <w:rPr>
          <w:rFonts w:ascii="Times New Roman;sans-serif" w:hAnsi="Times New Roman;sans-serif"/>
          <w:b w:val="false"/>
          <w:color w:val="000000"/>
          <w:sz w:val="22"/>
          <w:u w:val="single"/>
        </w:rPr>
        <w:t>Section 7.01(a)</w:t>
      </w:r>
      <w:r>
        <w:rPr>
          <w:rFonts w:ascii="Times New Roman;sans-serif" w:hAnsi="Times New Roman;sans-serif"/>
          <w:b w:val="false"/>
          <w:color w:val="000000"/>
          <w:sz w:val="22"/>
        </w:rPr>
        <w:t xml:space="preserve">). For purposes of calculating the consideration paid in any fiscal year under </w:t>
      </w:r>
      <w:r>
        <w:rPr>
          <w:rFonts w:ascii="Times New Roman;sans-serif" w:hAnsi="Times New Roman;sans-serif"/>
          <w:b w:val="false"/>
          <w:color w:val="000000"/>
          <w:sz w:val="22"/>
          <w:u w:val="single"/>
        </w:rPr>
        <w:t>clause (f)</w:t>
      </w:r>
      <w:r>
        <w:rPr>
          <w:rFonts w:ascii="Times New Roman;sans-serif" w:hAnsi="Times New Roman;sans-serif"/>
          <w:b w:val="false"/>
          <w:color w:val="000000"/>
          <w:sz w:val="22"/>
        </w:rPr>
        <w:t>, the deferred portion of the purchase price or any earn-out payments in connection with any Acquisition shall be only that counted in the fiscal year in which such consideration is paid.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Facilities</w:t>
      </w:r>
      <w:r>
        <w:rPr>
          <w:color w:val="000000"/>
        </w:rPr>
        <w:t xml:space="preserve">” </w:t>
      </w:r>
      <w:r>
        <w:rPr>
          <w:rFonts w:ascii="Times New Roman;sans-serif" w:hAnsi="Times New Roman;sans-serif"/>
          <w:b w:val="false"/>
          <w:color w:val="000000"/>
          <w:sz w:val="22"/>
        </w:rPr>
        <w:t>means, collectively, (a) Permitted Margin Facilities (including the StoneX Financial Margin Facility), (b) credit facilities entered into by the Borrower or any of its Subsidiaries to finance the purchase of metal warrants, metal leases as lessee or lessor or other trading assets in the ordinary course of business, (c) Permitted Repos, and (d) the StoneX Commodity Facility.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Holders</w:t>
      </w:r>
      <w:r>
        <w:rPr>
          <w:color w:val="000000"/>
        </w:rPr>
        <w:t xml:space="preserve">” </w:t>
      </w:r>
      <w:r>
        <w:rPr>
          <w:rFonts w:ascii="Times New Roman;sans-serif" w:hAnsi="Times New Roman;sans-serif"/>
          <w:b w:val="false"/>
          <w:color w:val="000000"/>
          <w:sz w:val="22"/>
        </w:rPr>
        <w:t>means: (a) Sean M. O’Connor, Scott J. Branch, John Radziwill or any of their respective spouses or lineal descendants or the spouse; (b) the heirs, executors, administrators, testamentary trustees, legatees or beneficiaries of any of the foregoing; and (c) any trust, the beneficiaries of which only include any of the foregoing or their respective spouses or lineal descendants.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Liens</w:t>
      </w:r>
      <w:r>
        <w:rPr>
          <w:color w:val="000000"/>
        </w:rPr>
        <w:t xml:space="preserve">” </w:t>
      </w:r>
      <w:r>
        <w:rPr>
          <w:rFonts w:ascii="Times New Roman;sans-serif" w:hAnsi="Times New Roman;sans-serif"/>
          <w:b w:val="false"/>
          <w:color w:val="000000"/>
          <w:sz w:val="22"/>
        </w:rPr>
        <w:t xml:space="preserve">means, at any time, Liens in respect of property of any Loan Party or any Subsidiary permitted to exist at such time pursuant to the terms of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Margin Facilities</w:t>
      </w:r>
      <w:r>
        <w:rPr>
          <w:color w:val="000000"/>
        </w:rPr>
        <w:t xml:space="preserve">” </w:t>
      </w:r>
      <w:r>
        <w:rPr>
          <w:rFonts w:ascii="Times New Roman;sans-serif" w:hAnsi="Times New Roman;sans-serif"/>
          <w:b w:val="false"/>
          <w:color w:val="000000"/>
          <w:sz w:val="22"/>
        </w:rPr>
        <w:t>means margin trading facilities entered into by the Borrower or any of its Subsidiaries in the ordinary course of business.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Refinancing</w:t>
      </w:r>
      <w:r>
        <w:rPr>
          <w:color w:val="000000"/>
        </w:rPr>
        <w:t xml:space="preserve">” </w:t>
      </w:r>
      <w:r>
        <w:rPr>
          <w:rFonts w:ascii="Times New Roman;sans-serif" w:hAnsi="Times New Roman;sans-serif"/>
          <w:b w:val="false"/>
          <w:color w:val="000000"/>
          <w:sz w:val="22"/>
        </w:rPr>
        <w:t xml:space="preserve">means, with respect to any Person, any modification, refinancing, refunding, renewal or extension of any Indebtedness of such Person;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 the principal amount (or accreted value, if applicable) thereof does not exceed the principal amount (or accreted value, if applicable) of the Indebtedness so modified, refinanced, refunded, renewed or extended except by an amount equal to unpaid accrued interest and premium thereon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other reasonable amounts paid, and fees and expenses reasonably incurred, in connection with such modification, refinancing, refunding, renewal or extension and by an amount equal to any existing commitments unutilized thereunder, (b) such modification, refinancing, refunding, renewal or extension has a final maturity date equal to or later than the final maturity date of, and has a Weighted Average Life to Maturity equal to or greater than the remaining Weighted Average Life to Maturity of, the Indebtedness being modified, refinanced, refunded, renewed or extended, (c) at the time thereof, no Default or Event of Default shall have occurred and be continuing, (d) if such Indebtedness being modified, refinanced, refunded, renewed or extended is subordinated in right of payment to the Obligations, such modification, refinancing, refunding, renewal or extension is subordinated in right of payment to the Obligations on terms at least as favorable to the Lenders as those contained in the documentation governing the Indebtedness being modified, refinanced, refunded, renewed or extended, (e) if such Indebtedness being modified, refinanced, refunded, renewed or extended is secured, the terms and conditions relating to collateral of any such modified, refinanced, refunded, renewed or extended Indebtedness, taken as a whole, are not materially less favorable to the Loan Parties or the Lenders than the terms and conditions with respect to the collateral for the Indebtedness being modified, refinanced, refunded, renewed or extended, taken as a whole (unless otherwise permitted under the terms of this Agreement), (f) the terms and conditions (excluding as to collateral, subordination and redemption premium) of any such modified, refinanced, refunded, renewed or extended Indebtedness, taken as a whole, shall not be materially less favorable to the Loan Parties than the Indebtedness being modified, refinanced, refunded, renewed or extended, taken as a whole and the interest rate applicable to any such modified, refinanced, refunded, renewed or extended Indebtedness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shall not exceed the then applicable market rate of interest, (g) if such Indebtedness being modified, refinanced, refunded, renewed or extended was unsecured, such modification, refinancing, refunding, renewal or extension shall also be unsecured (unless otherwise permitted under the terms of this Agreement) and (h) such modification, refinancing, refunding, renewal or extension is incurred by one or more Persons who is an obligor of the Indebtedness being modified, refinanced, refunded, renewed or extended.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Repos</w:t>
      </w:r>
      <w:r>
        <w:rPr>
          <w:color w:val="000000"/>
        </w:rPr>
        <w:t xml:space="preserve">” </w:t>
      </w:r>
      <w:r>
        <w:rPr>
          <w:rFonts w:ascii="Times New Roman;sans-serif" w:hAnsi="Times New Roman;sans-serif"/>
          <w:b w:val="false"/>
          <w:color w:val="000000"/>
          <w:sz w:val="22"/>
        </w:rPr>
        <w:t>means repurchase transactions with respect to trading assets entered into by the Borrower or any of its Subsidiaries in the ordinary course of business with non-Affiliates so long as the obligations of the counterparty are valid, enforceable and in full force and effect.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Permitted Transfers</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Dispositions of inventory, including commodities, in the ordinary course of business;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Dispositions of machinery and equipment no longer used or useful in the conduct of business of the Borrower and its Subsidiaries that are Disposed of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    Dispositions of property to the Borrower or any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if the transferor of such property is a Loan Party then the transferee thereof must be a Loan Party;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Dispositions of accounts receivable in connection with the collection or compromise thereof and Dispositions in the ordinary course of business of accounts receivable arising from the sale of commodities;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licenses, sublicenses, leases or subleases granted to others not interfering in any material respect with the business of the Borrower and its Subsidiaries;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the sale or disposition of Cash Equivalents for fair market value;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Dispositions consisting of sales of marketable securities, commodities, forwards, futures, derivatives and other assets in connection with trading, market making activities, structured products and other financial services activities, in each case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(h)    Dispositions of Investments (other than Investments in Subsidiaries) listed on </w:t>
      </w:r>
      <w:r>
        <w:rPr>
          <w:rFonts w:ascii="Times New Roman;sans-serif" w:hAnsi="Times New Roman;sans-serif"/>
          <w:b w:val="false"/>
          <w:color w:val="000000"/>
          <w:sz w:val="22"/>
          <w:u w:val="single"/>
        </w:rPr>
        <w:t>Schedule 8.02</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    to the extent constituting a Disposition, any Investment permitted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(other than by reference to this definition (or any subclause hereof)).</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Plan of Reorganization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11.06(g)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Platform</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Pro Forma Basis</w:t>
      </w:r>
      <w:r>
        <w:rPr>
          <w:color w:val="000000"/>
        </w:rPr>
        <w:t xml:space="preserve">” </w:t>
      </w:r>
      <w:r>
        <w:rPr>
          <w:rFonts w:ascii="Times New Roman;sans-serif" w:hAnsi="Times New Roman;sans-serif"/>
          <w:b w:val="false"/>
          <w:color w:val="000000"/>
          <w:sz w:val="22"/>
        </w:rPr>
        <w:t xml:space="preserve">means, with respect to any transaction, that for purposes of calculating the Financial Covenants, such transaction shall be deemed to have occurred as of the first day of the most recent four fiscal quarter period preceding the date of such transaction for which financial statements were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required to be delivered pursuant to </w:t>
      </w:r>
      <w:r>
        <w:rPr>
          <w:rFonts w:ascii="Times New Roman;sans-serif" w:hAnsi="Times New Roman;sans-serif"/>
          <w:b w:val="false"/>
          <w:color w:val="000000"/>
          <w:sz w:val="22"/>
          <w:u w:val="single"/>
        </w:rPr>
        <w:t>Section 7.01(a)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In connection with the foregoing, (a) with respect to any Disposition or Involuntary Disposition,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Times New Roman;sans-serif" w:hAnsi="Times New Roman;sans-serif"/>
          <w:b w:val="false"/>
          <w:color w:val="000000"/>
          <w:sz w:val="22"/>
          <w:u w:val="single"/>
        </w:rPr>
        <w:t>Section 1.01</w:t>
      </w:r>
      <w:r>
        <w:rPr>
          <w:color w:val="000000"/>
        </w:rPr>
        <w:t xml:space="preserve"> </w:t>
      </w:r>
      <w:r>
        <w:rPr>
          <w:rFonts w:ascii="Times New Roman;sans-serif" w:hAnsi="Times New Roman;sans-serif"/>
          <w:b w:val="false"/>
          <w:color w:val="000000"/>
          <w:sz w:val="22"/>
        </w:rPr>
        <w:t>and (B) such items are supported by financial statements or other information reasonably satisfactory to the Administrative Agent and (ii) any Indebtedness incurred or assumed by any Loan Party or any Subsidiary (including the Person or property acquired) in connection with such transaction and any Indebtedness of the Person or property acquired which is not retired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Pro Forma Compliance Certificate</w:t>
      </w:r>
      <w:r>
        <w:rPr>
          <w:color w:val="000000"/>
        </w:rPr>
        <w:t xml:space="preserve">” </w:t>
      </w:r>
      <w:r>
        <w:rPr>
          <w:rFonts w:ascii="Times New Roman;sans-serif" w:hAnsi="Times New Roman;sans-serif"/>
          <w:b w:val="false"/>
          <w:color w:val="000000"/>
          <w:sz w:val="22"/>
        </w:rPr>
        <w:t xml:space="preserve">means a certificate of a Responsible Officer of the Borrower containing reasonably detailed calculations of the Financial Covenants as of the end of the period of the four fiscal quarters most recently ended for which the Borrower has delivered financial statements pursuant to </w:t>
      </w:r>
      <w:r>
        <w:rPr>
          <w:rFonts w:ascii="Times New Roman;sans-serif" w:hAnsi="Times New Roman;sans-serif"/>
          <w:b w:val="false"/>
          <w:color w:val="000000"/>
          <w:sz w:val="22"/>
          <w:u w:val="single"/>
        </w:rPr>
        <w:t>Section 7.01(a)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after giving effect to the applicable transaction on a Pro Forma Basis.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Public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QFC Credit Support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11.22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means the Administrative Agent, any Lender or the L/C Issuer.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11.06(c)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Regulated Subsidiary</w:t>
      </w:r>
      <w:r>
        <w:rPr>
          <w:color w:val="000000"/>
        </w:rPr>
        <w:t xml:space="preserve">” </w:t>
      </w:r>
      <w:r>
        <w:rPr>
          <w:rFonts w:ascii="Times New Roman;sans-serif" w:hAnsi="Times New Roman;sans-serif"/>
          <w:b w:val="false"/>
          <w:color w:val="000000"/>
          <w:sz w:val="22"/>
        </w:rPr>
        <w:t>means any Subsidiary that is (a) registered as a broker dealer pursuant to Section 15 of the Securities Exchange Act of 1934 or that is regulated as a broker dealer or equivalent under any foreign securities law, (b) that is registered as a Futures Commission Merchant, Introducing Broker, Swap Exchange Facility or other “registered entity” within the meaning of Section 1a(40) of the Commodity Exchange Act, or the equivalent under any foreign securities or commodities Law, or (c) registered as a swap execution facility with the SEC or the CFTC.</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Removal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Reportable Event</w:t>
      </w:r>
      <w:r>
        <w:rPr>
          <w:color w:val="000000"/>
        </w:rPr>
        <w:t xml:space="preserve">” </w:t>
      </w:r>
      <w:r>
        <w:rPr>
          <w:rFonts w:ascii="Times New Roman;sans-serif" w:hAnsi="Times New Roman;sans-serif"/>
          <w:b w:val="false"/>
          <w:color w:val="000000"/>
          <w:sz w:val="22"/>
        </w:rPr>
        <w:t>means any of the events set forth in Section 4043(c) of ERISA, other than events for which the thirty-day notice period has been waived.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Request for Credit Extension</w:t>
      </w:r>
      <w:r>
        <w:rPr>
          <w:color w:val="000000"/>
        </w:rPr>
        <w:t xml:space="preserve">” </w:t>
      </w:r>
      <w:r>
        <w:rPr>
          <w:rFonts w:ascii="Times New Roman;sans-serif" w:hAnsi="Times New Roman;sans-serif"/>
          <w:b w:val="false"/>
          <w:color w:val="000000"/>
          <w:sz w:val="22"/>
        </w:rPr>
        <w:t>means (a) with respect to a Revolving Borrowing, an Incremental Term Borrowing, a conversion or continuation of Revolving Loans, or a conversion or continuation of Incremental Term Loans, a Loan Notice, (b) with respect to an L/C Credit Extension, a Letter of Credit Application and (c) with respect to a Borrowing of a Swing Line Loan, a Swing Line Loan Notice.</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means, at any time, Lenders holding in the aggregate more than 50% of (a) the unfunded Commitments and the outstanding Loans, L/C Obligations and participations therein or (b) if the Commitments have been terminated, the outstanding Loans, L/C Obligations and participations therein. The unfunded Commitments of, and the outstanding Loans, L/C Obligations and participations therein held or deemed held by, any Defaulting Lender shall be excluded for purposes of making a determination of Required Lenders;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Required Revolving Lenders</w:t>
      </w:r>
      <w:r>
        <w:rPr>
          <w:color w:val="000000"/>
        </w:rPr>
        <w:t xml:space="preserve">” </w:t>
      </w:r>
      <w:r>
        <w:rPr>
          <w:rFonts w:ascii="Times New Roman;sans-serif" w:hAnsi="Times New Roman;sans-serif"/>
          <w:b w:val="false"/>
          <w:color w:val="000000"/>
          <w:sz w:val="22"/>
        </w:rPr>
        <w:t xml:space="preserve">means, at any time, Revolving Lenders having Total Revolving Credit Exposures representing more than 50% of the Total Revolving Credit Exposures of all Revolving Lenders at such time. The Total Revolving Credit Exposure of any Defaulting Lender shall be disregarded in determining Required Revolving Lenders at any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Rescindable Amount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2.12(b)(ii)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Resignation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 xml:space="preserve">means the chief executive officer, president, chief operating officer, chief financial officer, treasurer, assistant treasurer or controller of a Loan Party, solely for purposes of the delivery of incumbency certificates in connection with this Agreement, the secretary or any assistant secretary of a Loan Party and, solely for purposes of notices given pursuant to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any other officer</w:t>
      </w:r>
      <w:r>
        <w:rPr>
          <w:color w:val="000000"/>
        </w:rPr>
        <w:t xml:space="preserve"> </w:t>
      </w:r>
      <w:r>
        <w:rPr>
          <w:rFonts w:ascii="Times New Roman;sans-serif" w:hAnsi="Times New Roman;sans-serif"/>
          <w:b w:val="false"/>
          <w:color w:val="000000"/>
          <w:sz w:val="22"/>
        </w:rPr>
        <w:t>or employee</w:t>
      </w:r>
      <w:r>
        <w:rPr>
          <w:color w:val="000000"/>
        </w:rPr>
        <w:t xml:space="preserve"> </w:t>
      </w:r>
      <w:r>
        <w:rPr>
          <w:rFonts w:ascii="Times New Roman;sans-serif" w:hAnsi="Times New Roman;sans-serif"/>
          <w:b w:val="false"/>
          <w:color w:val="000000"/>
          <w:sz w:val="22"/>
        </w:rPr>
        <w:t>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in form and substance reasonably satisfactory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means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Borrowing</w:t>
      </w:r>
      <w:r>
        <w:rPr>
          <w:color w:val="000000"/>
        </w:rPr>
        <w:t xml:space="preserve">” </w:t>
      </w:r>
      <w:r>
        <w:rPr>
          <w:rFonts w:ascii="Times New Roman;sans-serif" w:hAnsi="Times New Roman;sans-serif"/>
          <w:b w:val="false"/>
          <w:color w:val="000000"/>
          <w:sz w:val="22"/>
        </w:rPr>
        <w:t>means a borrowing consisting of simultaneous Revolving Loans of the same Type and, in the case of Term SOFR Loans, having the same Interest Period made by each of the Lenders pursuant to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Commitment</w:t>
      </w:r>
      <w:r>
        <w:rPr>
          <w:color w:val="000000"/>
        </w:rPr>
        <w:t xml:space="preserve">” </w:t>
      </w:r>
      <w:r>
        <w:rPr>
          <w:rFonts w:ascii="Times New Roman;sans-serif" w:hAnsi="Times New Roman;sans-serif"/>
          <w:b w:val="false"/>
          <w:color w:val="000000"/>
          <w:sz w:val="22"/>
        </w:rPr>
        <w:t xml:space="preserve">means, as to each Lender, its obligation to (a) make Revolving Loans to the Borrower pursuant to this Agreement, (b) purchase participations in L/C Obligations, and (c) purchase participations in Swing Line Loans, in an aggregate principal amount at any one time outstanding not to exceed the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or in the Assignment and Assumption pursuant to which such Lender becomes a party hereto or in any documentation executed by such Lender pursuant to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 as applicable as such amount may be adjusted from time to time in accordance with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Credit Exposure</w:t>
      </w:r>
      <w:r>
        <w:rPr>
          <w:color w:val="000000"/>
        </w:rPr>
        <w:t xml:space="preserve">” </w:t>
      </w:r>
      <w:r>
        <w:rPr>
          <w:rFonts w:ascii="Times New Roman;sans-serif" w:hAnsi="Times New Roman;sans-serif"/>
          <w:b w:val="false"/>
          <w:color w:val="000000"/>
          <w:sz w:val="22"/>
        </w:rPr>
        <w:t>means, as to any Revolving Lender at any time, the aggregate principal amount at such time of its outstanding Revolving Loans and such Revolving Lender’s participation in L/C Obligations and Swing Line Loans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Lender</w:t>
      </w:r>
      <w:r>
        <w:rPr>
          <w:color w:val="000000"/>
        </w:rPr>
        <w:t xml:space="preserve">” </w:t>
      </w:r>
      <w:r>
        <w:rPr>
          <w:rFonts w:ascii="Times New Roman;sans-serif" w:hAnsi="Times New Roman;sans-serif"/>
          <w:b w:val="false"/>
          <w:color w:val="000000"/>
          <w:sz w:val="22"/>
        </w:rPr>
        <w:t>means, at any time (a) so long as any Revolving Commitment is in effect at such time, any Person that has a Revolving Commitment at such time, and (b) if the Aggregate Revolving Commitments have terminated or expired at such time, any Person that has a Revolving Loan at such time or that has a participation in L/C Obligations or Swing Line Loans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Revolving Maturity Date</w:t>
      </w:r>
      <w:r>
        <w:rPr>
          <w:color w:val="000000"/>
        </w:rPr>
        <w:t xml:space="preserve">” </w:t>
      </w:r>
      <w:r>
        <w:rPr>
          <w:rFonts w:ascii="Times New Roman;sans-serif" w:hAnsi="Times New Roman;sans-serif"/>
          <w:b w:val="false"/>
          <w:color w:val="000000"/>
          <w:sz w:val="22"/>
        </w:rPr>
        <w:t xml:space="preserve">means: (a) with respect to the Non-Extending Lender, April 21, 2025;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all of the Second Lien Debt has not been refinanced with Indebtedness having a maturity date that is at least ninety-one (91) days after April 21, 2025, then on the date that is ninety-one (91) days prior to the Second Lien Maturity Date, the Revolving Maturity Date with respect to the Non-Extending Lender shall automatically be deemed to be the date that is ninety-one (91) days prior to the Second Lien Maturity Date; and (b) with respect to each Revolving Lender (other than the Non-Extending Lender), April 21, 2026;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all of the Second Lien Debt has not been refinanced with Indebtedness having a maturity date that is at least ninety-one (91) days after April 21, 2026, then on the date that is ninety-one (91) days prior to the Second Lien Maturity Date, the Revolving Maturity Date with respect to each Revolving Lender (other than the Non-Extending Lender) shall automatically be deemed to be the date that is ninety-one (91) days prior to the Second Lien Maturity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in each case, if such date is not a Business Day, such date shall be the next preceding Business Day. As used in this Agreement, unless otherwise set forth herein, “Revolving Maturity Date” shall be deemed to refer to the Revolving Maturity Date of the Non-Extending Lender or the Revolving Maturity Date of each Revolving Lender (other than the Non-Extending Lender), or both, as the context may require.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means Standard &amp; Poor’s Financial Services LLC, a subsidiary of S&amp;P Global Inc., and any successor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Sale and Leaseback Transaction</w:t>
      </w:r>
      <w:r>
        <w:rPr>
          <w:color w:val="000000"/>
        </w:rPr>
        <w:t xml:space="preserve">” </w:t>
      </w:r>
      <w:r>
        <w:rPr>
          <w:rFonts w:ascii="Times New Roman;sans-serif" w:hAnsi="Times New Roman;sans-serif"/>
          <w:b w:val="false"/>
          <w:color w:val="000000"/>
          <w:sz w:val="22"/>
        </w:rPr>
        <w:t>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 xml:space="preserve">means any international economic sanction administered or enforced by the United States Government, including OFAC, the United Nations Security Council, the European Union, His Majesty’s Treasury or other relevant sanctions authority.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Scheduled Unavailability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Securities and Exchange Commission, or any Governmental Authority succeeding to any of its principal functions.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Second Lien Bridge Facility</w:t>
      </w:r>
      <w:r>
        <w:rPr>
          <w:color w:val="000000"/>
        </w:rPr>
        <w:t xml:space="preserve">” </w:t>
      </w:r>
      <w:r>
        <w:rPr>
          <w:rFonts w:ascii="Times New Roman;sans-serif" w:hAnsi="Times New Roman;sans-serif"/>
          <w:b w:val="false"/>
          <w:color w:val="000000"/>
          <w:sz w:val="22"/>
        </w:rPr>
        <w:t>means a customary bridge facility entered into by the Borrower and its Subsidiaries, together with any Second Lien Debt or second lien term loans or other Second Lien Debt into which such bridge facility may be converted, in each case on customary terms for transactions of this type.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Second Lien Debt Agreement</w:t>
      </w:r>
      <w:r>
        <w:rPr>
          <w:color w:val="000000"/>
        </w:rPr>
        <w:t xml:space="preserve">” </w:t>
      </w:r>
      <w:r>
        <w:rPr>
          <w:rFonts w:ascii="Times New Roman;sans-serif" w:hAnsi="Times New Roman;sans-serif"/>
          <w:b w:val="false"/>
          <w:color w:val="000000"/>
          <w:sz w:val="22"/>
        </w:rPr>
        <w:t>means the indenture among the Borrower, certain of the Subsidiaries of the Borrower, as subsidiary guarantors, and a Person to be determined, as trustee and collateral agent, entered into in connection with the issuance of the Second Lien Debt or, if the Second Lien Bridge Facility is funded, the credit agreement in respect thereof among such parties, and any indenture or credit agreement entered into in connection with any conversion or exchange of the Second Lien Bridge Facility into exchanges notes or term loans.</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Second Lien Debt</w:t>
      </w:r>
      <w:r>
        <w:rPr>
          <w:color w:val="000000"/>
        </w:rPr>
        <w:t xml:space="preserve">” </w:t>
      </w:r>
      <w:r>
        <w:rPr>
          <w:rFonts w:ascii="Times New Roman;sans-serif" w:hAnsi="Times New Roman;sans-serif"/>
          <w:b w:val="false"/>
          <w:color w:val="000000"/>
          <w:sz w:val="22"/>
        </w:rPr>
        <w:t xml:space="preserve">means (a) those certain second priority senior secured notes of the Borrower due 2025 and/or (b) any Indebtedness under the Second Lien Bridge Facility;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aggregate principal amount of all Second Lien Debt shall not exceed $350,000,000.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Second Lien Guaranty</w:t>
      </w:r>
      <w:r>
        <w:rPr>
          <w:color w:val="000000"/>
        </w:rPr>
        <w:t xml:space="preserve">” </w:t>
      </w:r>
      <w:r>
        <w:rPr>
          <w:rFonts w:ascii="Times New Roman;sans-serif" w:hAnsi="Times New Roman;sans-serif"/>
          <w:b w:val="false"/>
          <w:color w:val="000000"/>
          <w:sz w:val="22"/>
        </w:rPr>
        <w:t>means that certain subsidiary guaranty agreement entered into by certain Subsidiaries of the Borrower, as subsidiary guarantors, in favor of the holders of the Second Lien Debt in connection with the Second Lien Debt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Second Lien Debt Documents</w:t>
      </w:r>
      <w:r>
        <w:rPr>
          <w:color w:val="000000"/>
        </w:rPr>
        <w:t xml:space="preserve">” </w:t>
      </w:r>
      <w:r>
        <w:rPr>
          <w:rFonts w:ascii="Times New Roman;sans-serif" w:hAnsi="Times New Roman;sans-serif"/>
          <w:b w:val="false"/>
          <w:color w:val="000000"/>
          <w:sz w:val="22"/>
        </w:rPr>
        <w:t>means the Second Lien Debt, the Second Lien Debt Agreement, the Second Lien Guaranty, the Intercreditor Agreement and all other certificates, agreements, documents and instruments executed and delivered, in each case, by or on behalf of any Loan Party, pursuant to the foregoing.</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Second Lien Maturity Date</w:t>
      </w:r>
      <w:r>
        <w:rPr>
          <w:color w:val="000000"/>
        </w:rPr>
        <w:t xml:space="preserve">” </w:t>
      </w:r>
      <w:r>
        <w:rPr>
          <w:rFonts w:ascii="Times New Roman;sans-serif" w:hAnsi="Times New Roman;sans-serif"/>
          <w:b w:val="false"/>
          <w:color w:val="000000"/>
          <w:sz w:val="22"/>
        </w:rPr>
        <w:t xml:space="preserve">means June 15, 2025.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Secured Cash Management Agreement</w:t>
      </w:r>
      <w:r>
        <w:rPr>
          <w:color w:val="000000"/>
        </w:rPr>
        <w:t xml:space="preserve">” </w:t>
      </w:r>
      <w:r>
        <w:rPr>
          <w:rFonts w:ascii="Times New Roman;sans-serif" w:hAnsi="Times New Roman;sans-serif"/>
          <w:b w:val="false"/>
          <w:color w:val="000000"/>
          <w:sz w:val="22"/>
        </w:rPr>
        <w:t>means any Cash Management Agreement that is entered into by and between any Loan Party or any Subsidiary</w:t>
      </w:r>
      <w:r>
        <w:rPr>
          <w:color w:val="000000"/>
        </w:rPr>
        <w:t xml:space="preserve"> </w:t>
      </w:r>
      <w:r>
        <w:rPr>
          <w:rFonts w:ascii="Times New Roman;sans-serif" w:hAnsi="Times New Roman;sans-serif"/>
          <w:b w:val="false"/>
          <w:color w:val="000000"/>
          <w:sz w:val="22"/>
        </w:rPr>
        <w:t xml:space="preserve">and any Cash Management Bank with respect to such Cash Management Agreement. For the avoidance of doubt, a holder of Obligations in respect of Secured Cash Management Agreements shall be subject to the last paragraph of </w:t>
      </w:r>
      <w:r>
        <w:rPr>
          <w:rFonts w:ascii="Times New Roman;sans-serif" w:hAnsi="Times New Roman;sans-serif"/>
          <w:b w:val="false"/>
          <w:color w:val="000000"/>
          <w:sz w:val="22"/>
          <w:u w:val="single"/>
        </w:rPr>
        <w:t>Section 9.03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10.11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Secured Hedge Agreement</w:t>
      </w:r>
      <w:r>
        <w:rPr>
          <w:color w:val="000000"/>
        </w:rPr>
        <w:t xml:space="preserve">” </w:t>
      </w:r>
      <w:r>
        <w:rPr>
          <w:rFonts w:ascii="Times New Roman;sans-serif" w:hAnsi="Times New Roman;sans-serif"/>
          <w:b w:val="false"/>
          <w:color w:val="000000"/>
          <w:sz w:val="22"/>
        </w:rPr>
        <w:t>means any Swap Contract that is entered into by and between any Loan Party or any Subsidiary</w:t>
      </w:r>
      <w:r>
        <w:rPr>
          <w:color w:val="000000"/>
        </w:rPr>
        <w:t xml:space="preserve"> </w:t>
      </w:r>
      <w:r>
        <w:rPr>
          <w:rFonts w:ascii="Times New Roman;sans-serif" w:hAnsi="Times New Roman;sans-serif"/>
          <w:b w:val="false"/>
          <w:color w:val="000000"/>
          <w:sz w:val="22"/>
        </w:rPr>
        <w:t xml:space="preserve">and any Hedge Bank with respect to such Swap Contract. For the avoidance of doubt, a holder of Obligations in respect of Secured Hedge Agreements shall be subject to the last paragraph of </w:t>
      </w:r>
      <w:r>
        <w:rPr>
          <w:rFonts w:ascii="Times New Roman;sans-serif" w:hAnsi="Times New Roman;sans-serif"/>
          <w:b w:val="false"/>
          <w:color w:val="000000"/>
          <w:sz w:val="22"/>
          <w:u w:val="single"/>
        </w:rPr>
        <w:t>Section 9.03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10.11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Secured Party Designation Notice</w:t>
      </w:r>
      <w:r>
        <w:rPr>
          <w:color w:val="000000"/>
        </w:rPr>
        <w:t xml:space="preserve">” </w:t>
      </w:r>
      <w:r>
        <w:rPr>
          <w:rFonts w:ascii="Times New Roman;sans-serif" w:hAnsi="Times New Roman;sans-serif"/>
          <w:b w:val="false"/>
          <w:color w:val="000000"/>
          <w:sz w:val="22"/>
        </w:rPr>
        <w:t xml:space="preserve">shall mean a notice from any Lender or an Affiliate of a Lender substantially in the form of </w:t>
      </w:r>
      <w:r>
        <w:rPr>
          <w:rFonts w:ascii="Times New Roman;sans-serif" w:hAnsi="Times New Roman;sans-serif"/>
          <w:b w:val="false"/>
          <w:color w:val="000000"/>
          <w:sz w:val="22"/>
          <w:u w:val="single"/>
        </w:rPr>
        <w:t>Exhibit 1.01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Securitization Transaction</w:t>
      </w:r>
      <w:r>
        <w:rPr>
          <w:color w:val="000000"/>
        </w:rPr>
        <w:t xml:space="preserve">” </w:t>
      </w:r>
      <w:r>
        <w:rPr>
          <w:rFonts w:ascii="Times New Roman;sans-serif" w:hAnsi="Times New Roman;sans-serif"/>
          <w:b w:val="false"/>
          <w:color w:val="000000"/>
          <w:sz w:val="22"/>
        </w:rPr>
        <w:t>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Security Agreement</w:t>
      </w:r>
      <w:r>
        <w:rPr>
          <w:color w:val="000000"/>
        </w:rPr>
        <w:t xml:space="preserve">” </w:t>
      </w:r>
      <w:r>
        <w:rPr>
          <w:rFonts w:ascii="Times New Roman;sans-serif" w:hAnsi="Times New Roman;sans-serif"/>
          <w:b w:val="false"/>
          <w:color w:val="000000"/>
          <w:sz w:val="22"/>
        </w:rPr>
        <w:t>means the amended and restated security and pledge agreement, dated as of the Closing Date, executed in favor of the Administrative Agent by each of the Loan Parties.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Segregated Funds</w:t>
      </w:r>
      <w:r>
        <w:rPr>
          <w:color w:val="000000"/>
        </w:rPr>
        <w:t xml:space="preserve">” </w:t>
      </w:r>
      <w:r>
        <w:rPr>
          <w:rFonts w:ascii="Times New Roman;sans-serif" w:hAnsi="Times New Roman;sans-serif"/>
          <w:b w:val="false"/>
          <w:color w:val="000000"/>
          <w:sz w:val="22"/>
        </w:rPr>
        <w:t>means funds deposited by customers relating to futures and option contracts in regulated commodities which funds must be carried in separate accounts which are designated as segregated customers’ accounts and funds held in separate accounts for the exclusive benefit of securities clients and proprietary accounts of broker-dealers. The deposits in these segregated accounts are not commingled with the funds of the Borrower or its Subsidiaries.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Seventh Amendment Effective Date</w:t>
      </w:r>
      <w:r>
        <w:rPr>
          <w:color w:val="000000"/>
        </w:rPr>
        <w:t xml:space="preserve">” </w:t>
      </w:r>
      <w:r>
        <w:rPr>
          <w:rFonts w:ascii="Times New Roman;sans-serif" w:hAnsi="Times New Roman;sans-serif"/>
          <w:b w:val="false"/>
          <w:color w:val="000000"/>
          <w:sz w:val="22"/>
        </w:rPr>
        <w:t>means June 30, 2023.</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means the Secured Overnight Financing Rate as determined by the Federal Bank of New York (or a successor administration).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SOFR Adjustment</w:t>
      </w:r>
      <w:r>
        <w:rPr>
          <w:color w:val="000000"/>
        </w:rPr>
        <w:t xml:space="preserve">” </w:t>
      </w:r>
      <w:r>
        <w:rPr>
          <w:rFonts w:ascii="Times New Roman;sans-serif" w:hAnsi="Times New Roman;sans-serif"/>
          <w:b w:val="false"/>
          <w:color w:val="000000"/>
          <w:sz w:val="22"/>
        </w:rPr>
        <w:t>with respect to Daily Simple SOFR and the SOFR Daily Floating Rate means 0.15% (15 basis points); and with respect to Term SOFR means 0.10% (10 basis points) for an Interest Period of one-month’s duration, 0. 15% (15 basis points;) for an Interest Period of three-month’s duration and 0.25% (25 basis points) for an Interest Period of six-months’ duration.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SOFR Daily Floating Rate</w:t>
      </w:r>
      <w:r>
        <w:rPr>
          <w:color w:val="000000"/>
        </w:rPr>
        <w:t xml:space="preserve">” </w:t>
      </w:r>
      <w:r>
        <w:rPr>
          <w:rFonts w:ascii="Times New Roman;sans-serif" w:hAnsi="Times New Roman;sans-serif"/>
          <w:b w:val="false"/>
          <w:color w:val="000000"/>
          <w:sz w:val="22"/>
        </w:rPr>
        <w:t xml:space="preserve">means, for any day, a fluctuating rate of interest, which can change on each Business Day, equal to the Term SOFR Screen Rate two (2) U.S. Government Securities Business Days prior to such day, with a term equivalent to one (1) month beginning on that date;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if the rate is not published prior to 11:00 a.m. on such determination date then the SOFR Daily Floating Rate means such Term SOFR Screen Rate on the first (1</w:t>
      </w:r>
      <w:r>
        <w:rPr>
          <w:rFonts w:ascii="Times New Roman;sans-serif" w:hAnsi="Times New Roman;sans-serif"/>
          <w:b w:val="false"/>
          <w:color w:val="000000"/>
          <w:sz w:val="14"/>
        </w:rPr>
        <w:t>st</w:t>
      </w:r>
      <w:r>
        <w:rPr>
          <w:rFonts w:ascii="Times New Roman;sans-serif" w:hAnsi="Times New Roman;sans-serif"/>
          <w:b w:val="false"/>
          <w:color w:val="000000"/>
          <w:sz w:val="22"/>
        </w:rPr>
        <w:t xml:space="preserve">) U.S. Government Securities Business Day immediately prior thereto,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SOFR Adjustment;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if the SOFR Daily Floating Rate shall be less than zero, such rate shall be deemed zero for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SOFR Daily Floating Rate Swing Line Loan</w:t>
      </w:r>
      <w:r>
        <w:rPr>
          <w:color w:val="000000"/>
        </w:rPr>
        <w:t xml:space="preserve">” </w:t>
      </w:r>
      <w:r>
        <w:rPr>
          <w:rFonts w:ascii="Times New Roman;sans-serif" w:hAnsi="Times New Roman;sans-serif"/>
          <w:b w:val="false"/>
          <w:color w:val="000000"/>
          <w:sz w:val="22"/>
        </w:rPr>
        <w:t>means a Swing Line Loan that bears interest at a rate based on the SOFR Daily Floating Rate.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Solvent</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Solvency</w:t>
      </w:r>
      <w:r>
        <w:rPr>
          <w:color w:val="000000"/>
        </w:rPr>
        <w:t xml:space="preserve">” </w:t>
      </w:r>
      <w:r>
        <w:rPr>
          <w:rFonts w:ascii="Times New Roman;sans-serif" w:hAnsi="Times New Roman;sans-serif"/>
          <w:b w:val="false"/>
          <w:color w:val="000000"/>
          <w:sz w:val="22"/>
        </w:rPr>
        <w:t>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and (e) the present fair salable value of the assets of such Person is not less than the amount that will be required to pay the probable liability of such Person on its debts as they become absolute and matured.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Event of Default</w:t>
      </w:r>
      <w:r>
        <w:rPr>
          <w:color w:val="000000"/>
        </w:rPr>
        <w:t xml:space="preserve">” </w:t>
      </w:r>
      <w:r>
        <w:rPr>
          <w:rFonts w:ascii="Times New Roman;sans-serif" w:hAnsi="Times New Roman;sans-serif"/>
          <w:b w:val="false"/>
          <w:color w:val="000000"/>
          <w:sz w:val="22"/>
        </w:rPr>
        <w:t xml:space="preserve">means any Event of Default pursuant to </w:t>
      </w:r>
      <w:r>
        <w:rPr>
          <w:rFonts w:ascii="Times New Roman;sans-serif" w:hAnsi="Times New Roman;sans-serif"/>
          <w:b w:val="false"/>
          <w:color w:val="000000"/>
          <w:sz w:val="22"/>
          <w:u w:val="single"/>
        </w:rPr>
        <w:t>Section 9.01(a)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9.01(f)</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Section 9.01(g)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Specified Loan Party</w:t>
      </w:r>
      <w:r>
        <w:rPr>
          <w:color w:val="000000"/>
        </w:rPr>
        <w:t xml:space="preserve">” </w:t>
      </w:r>
      <w:r>
        <w:rPr>
          <w:rFonts w:ascii="Times New Roman;sans-serif" w:hAnsi="Times New Roman;sans-serif"/>
          <w:b w:val="false"/>
          <w:color w:val="000000"/>
          <w:sz w:val="22"/>
        </w:rPr>
        <w:t>has the meaning specified in Section 2(h) of the Guaranty.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StoneX Financial</w:t>
      </w:r>
      <w:r>
        <w:rPr>
          <w:color w:val="000000"/>
        </w:rPr>
        <w:t xml:space="preserve">” </w:t>
      </w:r>
      <w:r>
        <w:rPr>
          <w:rFonts w:ascii="Times New Roman;sans-serif" w:hAnsi="Times New Roman;sans-serif"/>
          <w:b w:val="false"/>
          <w:color w:val="000000"/>
          <w:sz w:val="22"/>
        </w:rPr>
        <w:t>means StoneX Financial Inc., a Florida corporation.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StoneX Financial Margin Facility</w:t>
      </w:r>
      <w:r>
        <w:rPr>
          <w:color w:val="000000"/>
        </w:rPr>
        <w:t xml:space="preserve">” </w:t>
      </w:r>
      <w:r>
        <w:rPr>
          <w:rFonts w:ascii="Times New Roman;sans-serif" w:hAnsi="Times New Roman;sans-serif"/>
          <w:b w:val="false"/>
          <w:color w:val="000000"/>
          <w:sz w:val="22"/>
        </w:rPr>
        <w:t>means that certain Amended and Restated Credit Agreement dated as of June 21, 2010, by and among StoneX Financial, as the borrower, the guarantors party thereto, the lenders party thereto, and Bank of Montreal, as administrative agent, as amended on or before the Closing Date or as amended, modified, restated or supplemented from time to time after the Closing Date in accordance with the terms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StoneX (Netherlands) BV</w:t>
      </w:r>
      <w:r>
        <w:rPr>
          <w:color w:val="000000"/>
        </w:rPr>
        <w:t xml:space="preserve">” </w:t>
      </w:r>
      <w:r>
        <w:rPr>
          <w:rFonts w:ascii="Times New Roman;sans-serif" w:hAnsi="Times New Roman;sans-serif"/>
          <w:b w:val="false"/>
          <w:color w:val="000000"/>
          <w:sz w:val="22"/>
        </w:rPr>
        <w:t>means StoneX (Netherlands) BV (f/k/a INTL FCStone (Netherlands) BV), a private company with limited liability incorporated under the laws of the Netherlands.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Subordination Agreement</w:t>
      </w:r>
      <w:r>
        <w:rPr>
          <w:color w:val="000000"/>
        </w:rPr>
        <w:t xml:space="preserve">” </w:t>
      </w:r>
      <w:r>
        <w:rPr>
          <w:rFonts w:ascii="Times New Roman;sans-serif" w:hAnsi="Times New Roman;sans-serif"/>
          <w:b w:val="false"/>
          <w:color w:val="000000"/>
          <w:sz w:val="22"/>
        </w:rPr>
        <w:t xml:space="preserve">means, with respect to any Indebtedness permitted pursuant to </w:t>
      </w:r>
      <w:r>
        <w:rPr>
          <w:rFonts w:ascii="Times New Roman;sans-serif" w:hAnsi="Times New Roman;sans-serif"/>
          <w:b w:val="false"/>
          <w:color w:val="000000"/>
          <w:sz w:val="22"/>
          <w:u w:val="single"/>
        </w:rPr>
        <w:t>Section 8.03(k)</w:t>
      </w:r>
      <w:r>
        <w:rPr>
          <w:rFonts w:ascii="Times New Roman;sans-serif" w:hAnsi="Times New Roman;sans-serif"/>
          <w:b w:val="false"/>
          <w:color w:val="000000"/>
          <w:sz w:val="22"/>
        </w:rPr>
        <w:t>, a subordination agreement entered into between the Administrative Agent and the holders of such Indebtedness (or an agent or trustee for the benefit of the holders of such Indebtedness), in form and substance satisfactory to the Administrative Agent.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of a Person means a corporation, partnership, joint venture, limited liability company or other business entity of which a majority of the shares of Voting Stock is at the time beneficially owned by such Person. Unless otherwise specified, all references herein to a “Subsidiary” or to “Subsidiaries” shall refer to a Subsidiary or Subsidiaries of the Borrower.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StoneX Commodity</w:t>
      </w:r>
      <w:r>
        <w:rPr>
          <w:color w:val="000000"/>
        </w:rPr>
        <w:t xml:space="preserve">” </w:t>
      </w:r>
      <w:r>
        <w:rPr>
          <w:rFonts w:ascii="Times New Roman;sans-serif" w:hAnsi="Times New Roman;sans-serif"/>
          <w:b w:val="false"/>
          <w:color w:val="000000"/>
          <w:sz w:val="22"/>
        </w:rPr>
        <w:t>means StoneX Commodity Solutions LLC (f/k/a FCStone Merchant Services, LLC), a Delaware limited liability company.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StoneX Commodity Facility</w:t>
      </w:r>
      <w:r>
        <w:rPr>
          <w:color w:val="000000"/>
        </w:rPr>
        <w:t xml:space="preserve">” </w:t>
      </w:r>
      <w:r>
        <w:rPr>
          <w:rFonts w:ascii="Times New Roman;sans-serif" w:hAnsi="Times New Roman;sans-serif"/>
          <w:b w:val="false"/>
          <w:color w:val="000000"/>
          <w:sz w:val="22"/>
        </w:rPr>
        <w:t>means that certain Second Amended and Restated Credit Agreement, dated as of First Amendment Effective Date, by and among StoneX Commodity, as the borrower, the Borrower, as holdings, the guarantors party thereto, the lenders from time to time party thereto and Coöperatieve Rabobank U.A., New York branch, as administrative agent, as amended, modified, restated or supplemented from time to time after the First Amendment Effective Date in accordance with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u w:val="single"/>
        </w:rPr>
        <w:t>StoneX Commodity Facility Collateral</w:t>
      </w:r>
      <w:r>
        <w:rPr>
          <w:color w:val="000000"/>
        </w:rPr>
        <w:t xml:space="preserve">” </w:t>
      </w:r>
      <w:r>
        <w:rPr>
          <w:rFonts w:ascii="Times New Roman;sans-serif" w:hAnsi="Times New Roman;sans-serif"/>
          <w:b w:val="false"/>
          <w:color w:val="000000"/>
          <w:sz w:val="22"/>
        </w:rPr>
        <w:t xml:space="preserve">means the Collateral (as defined in the StoneX Commodity Facility (as in effect on the First Amendment Effective Date, without giving effect to any amendments, modifications, restatements or supplements thereto, other than any such amendment, modification, restatement or supplement that is not adverse to the Lenders (it being understood and agreed that any amendment, modification, restatement or supplement thereto to include any property or asset that constitutes Excluded Property shall not be deemed adverse to the Lenders)));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in no event shall the StoneX Commodity Facility Collateral include (a) the Equity Interest of StoneX Commodity, or (b) the Equity Interests of any Subsidiary of StoneX Commodity.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Successor Rate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Supported QFC</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11.22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Swap Contract</w:t>
      </w:r>
      <w:r>
        <w:rPr>
          <w:color w:val="000000"/>
        </w:rPr>
        <w:t xml:space="preserve">” </w:t>
      </w:r>
      <w:r>
        <w:rPr>
          <w:rFonts w:ascii="Times New Roman;sans-serif" w:hAnsi="Times New Roman;sans-serif"/>
          <w:b w:val="false"/>
          <w:color w:val="000000"/>
          <w:sz w:val="22"/>
        </w:rPr>
        <w:t>means (a) any and all rate swap transactions, basis swaps, credit derivative transactions, forward rate transactions, commodity swaps, commodity options, forward and futures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ans-serif" w:hAnsi="Times New Roman;sans-serif"/>
          <w:b w:val="false"/>
          <w:color w:val="000000"/>
          <w:sz w:val="22"/>
          <w:u w:val="single"/>
        </w:rPr>
        <w:t>Master Agreement</w:t>
      </w:r>
      <w:r>
        <w:rPr>
          <w:color w:val="000000"/>
        </w:rPr>
        <w:t>”</w:t>
      </w:r>
      <w:r>
        <w:rPr>
          <w:rFonts w:ascii="Times New Roman;sans-serif" w:hAnsi="Times New Roman;sans-serif"/>
          <w:b w:val="false"/>
          <w:color w:val="000000"/>
          <w:sz w:val="22"/>
        </w:rPr>
        <w:t>), including any such obligations or liabilities under any Master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Swap Obligations</w:t>
      </w:r>
      <w:r>
        <w:rPr>
          <w:color w:val="000000"/>
        </w:rPr>
        <w:t xml:space="preserve">” </w:t>
      </w:r>
      <w:r>
        <w:rPr>
          <w:rFonts w:ascii="Times New Roman;sans-serif" w:hAnsi="Times New Roman;sans-serif"/>
          <w:b w:val="false"/>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Swap Termination Value</w:t>
      </w:r>
      <w:r>
        <w:rPr>
          <w:color w:val="000000"/>
        </w:rPr>
        <w:t xml:space="preserve">” </w:t>
      </w:r>
      <w:r>
        <w:rPr>
          <w:rFonts w:ascii="Times New Roman;sans-serif" w:hAnsi="Times New Roman;sans-serif"/>
          <w:b w:val="false"/>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 Line Commitment</w:t>
      </w:r>
      <w:r>
        <w:rPr>
          <w:color w:val="000000"/>
        </w:rPr>
        <w:t xml:space="preserve">” </w:t>
      </w:r>
      <w:r>
        <w:rPr>
          <w:rFonts w:ascii="Times New Roman;sans-serif" w:hAnsi="Times New Roman;sans-serif"/>
          <w:b w:val="false"/>
          <w:color w:val="000000"/>
          <w:sz w:val="22"/>
        </w:rPr>
        <w:t xml:space="preserve">means as to any Lender (a) the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or (b) if such Lender has entered into an Assignment and Assumption or has otherwise assumed a Swing Line Commitment after the Closing Date, the amount set forth for such Lender as its Swing Line Commitment in the Register maintained by the Administrative Agent pursuant to </w:t>
      </w:r>
      <w:r>
        <w:rPr>
          <w:rFonts w:ascii="Times New Roman;sans-serif" w:hAnsi="Times New Roman;sans-serif"/>
          <w:b w:val="false"/>
          <w:color w:val="000000"/>
          <w:sz w:val="22"/>
          <w:u w:val="single"/>
        </w:rPr>
        <w:t>Section 11.06(c)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 Line Lender</w:t>
      </w:r>
      <w:r>
        <w:rPr>
          <w:color w:val="000000"/>
        </w:rPr>
        <w:t xml:space="preserve">” </w:t>
      </w:r>
      <w:r>
        <w:rPr>
          <w:rFonts w:ascii="Times New Roman;sans-serif" w:hAnsi="Times New Roman;sans-serif"/>
          <w:b w:val="false"/>
          <w:color w:val="000000"/>
          <w:sz w:val="22"/>
        </w:rPr>
        <w:t>means Bank of America in its capacity as provider of Swing Line Loans, or any successor swing line lender hereunder.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 Line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 Line Loan Notice</w:t>
      </w:r>
      <w:r>
        <w:rPr>
          <w:color w:val="000000"/>
        </w:rPr>
        <w:t xml:space="preserve">” </w:t>
      </w:r>
      <w:r>
        <w:rPr>
          <w:rFonts w:ascii="Times New Roman;sans-serif" w:hAnsi="Times New Roman;sans-serif"/>
          <w:b w:val="false"/>
          <w:color w:val="000000"/>
          <w:sz w:val="22"/>
        </w:rPr>
        <w:t xml:space="preserve">means a notice of a Borrowing of a Swing Line Loan pursuant to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2.04</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Swing Line Sublimit</w:t>
      </w:r>
      <w:r>
        <w:rPr>
          <w:color w:val="000000"/>
        </w:rPr>
        <w:t xml:space="preserve">” </w:t>
      </w:r>
      <w:r>
        <w:rPr>
          <w:rFonts w:ascii="Times New Roman;sans-serif" w:hAnsi="Times New Roman;sans-serif"/>
          <w:b w:val="false"/>
          <w:color w:val="000000"/>
          <w:sz w:val="22"/>
        </w:rPr>
        <w:t>means an amount equal to the lesser of (a) $75,000,000 and (b) the Aggregate Revolving Commitments. The Swing Line Sublimit is part of, and not in addition to, the Aggregate Revolving Commitments.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Synthetic Lease</w:t>
      </w:r>
      <w:r>
        <w:rPr>
          <w:color w:val="000000"/>
        </w:rPr>
        <w:t xml:space="preserve">” </w:t>
      </w:r>
      <w:r>
        <w:rPr>
          <w:rFonts w:ascii="Times New Roman;sans-serif" w:hAnsi="Times New Roman;sans-serif"/>
          <w:b w:val="false"/>
          <w:color w:val="000000"/>
          <w:sz w:val="22"/>
        </w:rPr>
        <w:t>means any synthetic lease, tax retention operating lease, off-balance sheet loan or similar off-balance sheet financing arrangement whereby the arrangement is considered borrowed money indebtedness for tax purposes but is classified as an operating lease or does not otherwise appear on a balance sheet under GAAP.</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Term Facility Increase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Term SOFR</w:t>
      </w:r>
      <w:r>
        <w:rPr>
          <w:color w:val="000000"/>
        </w:rPr>
        <w:t xml:space="preserve">” </w:t>
      </w:r>
      <w:r>
        <w:rPr>
          <w:rFonts w:ascii="Times New Roman;sans-serif" w:hAnsi="Times New Roman;sans-serif"/>
          <w:b w:val="false"/>
          <w:color w:val="000000"/>
          <w:sz w:val="22"/>
        </w:rPr>
        <w:t xml:space="preserve">means: (a)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the rate is not published prior to 11:00 a.m. on such determination date then Term SOFR means the Term SOFR Screen Rate on the first U.S. Government Securities Business Day immediately prior thereto;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SOFR Adjustment for such Interest Period; and (b) for any interest calculation with respect to a Base Rate Loan on any date, the rate per annum equal to the Term SOFR Screen Rate two U.S. Government Securities Business Days prior to such date with a term of one month commencing that day;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the rate is not published prior to 11:00 a.m. on such determination date then Term SOFR means the Term SOFR Screen Rate on the first U.S. Government Securities Business Day immediately prior thereto;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SOFR Adjustment for such term;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Term SOFR determined in accordance with either of the foregoing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of this definition would otherwise be less than zero, Term SOFR shall be deemed zero for purposes of this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Term SOFR Loan</w:t>
      </w:r>
      <w:r>
        <w:rPr>
          <w:color w:val="000000"/>
        </w:rPr>
        <w:t xml:space="preserve">” </w:t>
      </w:r>
      <w:r>
        <w:rPr>
          <w:rFonts w:ascii="Times New Roman;sans-serif" w:hAnsi="Times New Roman;sans-serif"/>
          <w:b w:val="false"/>
          <w:color w:val="000000"/>
          <w:sz w:val="22"/>
        </w:rPr>
        <w:t xml:space="preserve">means a Revolving Loan or an Incremental Term Loan that bears interest at a rate based on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of the definition of “Term SOFR”.</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Term SOFR Replacement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Term SOFR Screen Rate</w:t>
      </w:r>
      <w:r>
        <w:rPr>
          <w:color w:val="000000"/>
        </w:rPr>
        <w:t xml:space="preserve">” </w:t>
      </w:r>
      <w:r>
        <w:rPr>
          <w:rFonts w:ascii="Times New Roman;sans-serif" w:hAnsi="Times New Roman;sans-serif"/>
          <w:b w:val="false"/>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Threshold Amount</w:t>
      </w:r>
      <w:r>
        <w:rPr>
          <w:color w:val="000000"/>
        </w:rPr>
        <w:t xml:space="preserve">” </w:t>
      </w:r>
      <w:r>
        <w:rPr>
          <w:rFonts w:ascii="Times New Roman;sans-serif" w:hAnsi="Times New Roman;sans-serif"/>
          <w:b w:val="false"/>
          <w:color w:val="000000"/>
          <w:sz w:val="22"/>
        </w:rPr>
        <w:t>means $25,000,000.</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Credit Exposure</w:t>
      </w:r>
      <w:r>
        <w:rPr>
          <w:color w:val="000000"/>
        </w:rPr>
        <w:t xml:space="preserve">” </w:t>
      </w:r>
      <w:r>
        <w:rPr>
          <w:rFonts w:ascii="Times New Roman;sans-serif" w:hAnsi="Times New Roman;sans-serif"/>
          <w:b w:val="false"/>
          <w:color w:val="000000"/>
          <w:sz w:val="22"/>
        </w:rPr>
        <w:t xml:space="preserve">means, as to any Lender at any time, (a) the unused Commitments of such Lender at such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Revolving Credit Exposure of such Lender at such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(c) the Outstanding Amount of all Incremental Term Loans held by such Lender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Revolving Credit Exposure</w:t>
      </w:r>
      <w:r>
        <w:rPr>
          <w:color w:val="000000"/>
        </w:rPr>
        <w:t xml:space="preserve">” </w:t>
      </w:r>
      <w:r>
        <w:rPr>
          <w:rFonts w:ascii="Times New Roman;sans-serif" w:hAnsi="Times New Roman;sans-serif"/>
          <w:b w:val="false"/>
          <w:color w:val="000000"/>
          <w:sz w:val="22"/>
        </w:rPr>
        <w:t xml:space="preserve">means, as to any Revolving Lender at any time, (a) the unused Revolving Commitment of such Revolving Lender at such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(b) the Revolving Credit Exposure of such Revolving Lender at such time.</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Total Revolving Outstandings</w:t>
      </w:r>
      <w:r>
        <w:rPr>
          <w:color w:val="000000"/>
        </w:rPr>
        <w:t xml:space="preserve">” </w:t>
      </w:r>
      <w:r>
        <w:rPr>
          <w:rFonts w:ascii="Times New Roman;sans-serif" w:hAnsi="Times New Roman;sans-serif"/>
          <w:b w:val="false"/>
          <w:color w:val="000000"/>
          <w:sz w:val="22"/>
        </w:rPr>
        <w:t>means, at any time, the aggregate Outstanding Amount of all Revolving Loans, all Swing Line Loans and all L/C Obligations at such time.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Trade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11.06(g)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Trading Debt Interest Charges</w:t>
      </w:r>
      <w:r>
        <w:rPr>
          <w:color w:val="000000"/>
        </w:rPr>
        <w:t xml:space="preserve">” </w:t>
      </w:r>
      <w:r>
        <w:rPr>
          <w:rFonts w:ascii="Times New Roman;sans-serif" w:hAnsi="Times New Roman;sans-serif"/>
          <w:b w:val="false"/>
          <w:color w:val="000000"/>
          <w:sz w:val="22"/>
        </w:rPr>
        <w:t xml:space="preserve">means, for any period, without duplication, (a) all Consolidated Interest Charges for such period in connection with the trading activities conducted by the Borrower and its Subsidiaries as an institutional dealer in fixed income securities, and (b) all Consolidated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Charges for such period in connection with any securities lending activities conducted by the Borrower and its Subsidiaries, in each case as referenced and reflected in the financial statements most recently delivered by the Borrower pursuant to </w:t>
      </w:r>
      <w:r>
        <w:rPr>
          <w:rFonts w:ascii="Times New Roman;sans-serif" w:hAnsi="Times New Roman;sans-serif"/>
          <w:b w:val="false"/>
          <w:color w:val="000000"/>
          <w:sz w:val="22"/>
          <w:u w:val="single"/>
        </w:rPr>
        <w:t>Section 7.01(a)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7.01(b)</w:t>
      </w:r>
      <w:r>
        <w:rPr>
          <w:rFonts w:ascii="Times New Roman;sans-serif" w:hAnsi="Times New Roman;sans-serif"/>
          <w:b w:val="false"/>
          <w:color w:val="000000"/>
          <w:sz w:val="22"/>
        </w:rPr>
        <w:t>,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means, with respect to any Loan, its character as a Base Rate Loan, SOFR Daily Floating Rate Swing Line Loan or a Term SOFR Loan.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UCP</w:t>
      </w:r>
      <w:r>
        <w:rPr>
          <w:color w:val="000000"/>
        </w:rPr>
        <w:t xml:space="preserve">” </w:t>
      </w:r>
      <w:r>
        <w:rPr>
          <w:rFonts w:ascii="Times New Roman;sans-serif" w:hAnsi="Times New Roman;sans-serif"/>
          <w:b w:val="false"/>
          <w:color w:val="000000"/>
          <w:sz w:val="22"/>
        </w:rPr>
        <w:t>means, with respect to any Letter of Credit, the Uniform Customs and Practice for Documentary Credits, International Chamber of Commerce (“</w:t>
      </w:r>
      <w:r>
        <w:rPr>
          <w:rFonts w:ascii="Times New Roman;sans-serif" w:hAnsi="Times New Roman;sans-serif"/>
          <w:b w:val="false"/>
          <w:color w:val="000000"/>
          <w:sz w:val="22"/>
          <w:u w:val="single"/>
        </w:rPr>
        <w:t>ICC</w:t>
      </w:r>
      <w:r>
        <w:rPr>
          <w:color w:val="000000"/>
        </w:rPr>
        <w:t>”</w:t>
      </w:r>
      <w:r>
        <w:rPr>
          <w:rFonts w:ascii="Times New Roman;sans-serif" w:hAnsi="Times New Roman;sans-serif"/>
          <w:b w:val="false"/>
          <w:color w:val="000000"/>
          <w:sz w:val="22"/>
        </w:rPr>
        <w:t>) Publication No. 600 (or such later version thereof as may be in effect at the time of issuance).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United States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U.S.</w:t>
      </w:r>
      <w:r>
        <w:rPr>
          <w:color w:val="000000"/>
        </w:rPr>
        <w:t xml:space="preserve">” </w:t>
      </w:r>
      <w:r>
        <w:rPr>
          <w:rFonts w:ascii="Times New Roman;sans-serif" w:hAnsi="Times New Roman;sans-serif"/>
          <w:b w:val="false"/>
          <w:color w:val="000000"/>
          <w:sz w:val="22"/>
        </w:rPr>
        <w:t>mean the United States of America.</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Unreimbursed Amount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2.03(c)(i)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any Person that is a “United States Person” as defined in Section 7701(a)(30) of the Internal Revenue Code.</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 Special Resolution Regimes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11.22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U.S. Tax Compliance Certificate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3.01(e)(ii)(B)(3)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Voluntary Prepayment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8.12(b)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Voting Stock</w:t>
      </w:r>
      <w:r>
        <w:rPr>
          <w:color w:val="000000"/>
        </w:rPr>
        <w:t xml:space="preserve">” </w:t>
      </w:r>
      <w:r>
        <w:rPr>
          <w:rFonts w:ascii="Times New Roman;sans-serif" w:hAnsi="Times New Roman;sans-serif"/>
          <w:b w:val="false"/>
          <w:color w:val="000000"/>
          <w:sz w:val="22"/>
        </w:rPr>
        <w:t>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Weighted Average Life to Maturity</w:t>
      </w:r>
      <w:r>
        <w:rPr>
          <w:color w:val="000000"/>
        </w:rPr>
        <w:t xml:space="preserve">” </w:t>
      </w:r>
      <w:r>
        <w:rPr>
          <w:rFonts w:ascii="Times New Roman;sans-serif" w:hAnsi="Times New Roman;sans-serif"/>
          <w:b w:val="false"/>
          <w:color w:val="000000"/>
          <w:sz w:val="22"/>
        </w:rPr>
        <w:t xml:space="preserve">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w:t>
      </w:r>
      <w:r>
        <w:rPr>
          <w:rFonts w:ascii="Times New Roman;sans-serif" w:hAnsi="Times New Roman;sans-serif"/>
          <w:b w:val="false"/>
          <w:color w:val="000000"/>
          <w:sz w:val="22"/>
          <w:u w:val="single"/>
        </w:rPr>
        <w:t>by</w:t>
      </w:r>
      <w:r>
        <w:rPr>
          <w:color w:val="000000"/>
        </w:rPr>
        <w:t xml:space="preserve"> </w:t>
      </w:r>
      <w:r>
        <w:rPr>
          <w:rFonts w:ascii="Times New Roman;sans-serif" w:hAnsi="Times New Roman;sans-serif"/>
          <w:b w:val="false"/>
          <w:color w:val="000000"/>
          <w:sz w:val="22"/>
        </w:rPr>
        <w:t xml:space="preserve">(ii) the number of years (calculated to the nearest one twelfth) that will elapse between such date of determination and the making of such payment </w:t>
      </w:r>
      <w:r>
        <w:rPr>
          <w:rFonts w:ascii="Times New Roman;sans-serif" w:hAnsi="Times New Roman;sans-serif"/>
          <w:b w:val="false"/>
          <w:color w:val="000000"/>
          <w:sz w:val="22"/>
          <w:u w:val="single"/>
        </w:rPr>
        <w:t>by</w:t>
      </w:r>
      <w:r>
        <w:rPr>
          <w:color w:val="000000"/>
        </w:rPr>
        <w:t xml:space="preserve"> </w:t>
      </w:r>
      <w:r>
        <w:rPr>
          <w:rFonts w:ascii="Times New Roman;sans-serif" w:hAnsi="Times New Roman;sans-serif"/>
          <w:b w:val="false"/>
          <w:color w:val="000000"/>
          <w:sz w:val="22"/>
        </w:rPr>
        <w:t>(b) the then outstanding principal amount of such Indebtedness as of such date of determination.</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 xml:space="preserve">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Other Interpretive Provisions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With reference to this Agreement and each other Loan Document, unless otherwise specified herein or in such other Loan Document: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(i)The definitions of terms herein shall apply equally to the singular and plural forms of the terms defined. Whenever the context may require, any pronoun shall include the corresponding masculine, feminine and neuter forms. The words “</w:t>
      </w:r>
      <w:r>
        <w:rPr>
          <w:rFonts w:ascii="Times New Roman;sans-serif" w:hAnsi="Times New Roman;sans-serif"/>
          <w:b w:val="false"/>
          <w:color w:val="000000"/>
          <w:sz w:val="22"/>
          <w:u w:val="single"/>
        </w:rPr>
        <w:t>include</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includes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including</w:t>
      </w:r>
      <w:r>
        <w:rPr>
          <w:color w:val="000000"/>
        </w:rPr>
        <w:t xml:space="preserve">” </w:t>
      </w:r>
      <w:r>
        <w:rPr>
          <w:rFonts w:ascii="Times New Roman;sans-serif" w:hAnsi="Times New Roman;sans-serif"/>
          <w:b w:val="false"/>
          <w:color w:val="000000"/>
          <w:sz w:val="22"/>
        </w:rPr>
        <w:t>shall be deemed to be followed by the phrase “without limitation.” The word “</w:t>
      </w:r>
      <w:r>
        <w:rPr>
          <w:rFonts w:ascii="Times New Roman;sans-serif" w:hAnsi="Times New Roman;sans-serif"/>
          <w:b w:val="false"/>
          <w:color w:val="000000"/>
          <w:sz w:val="22"/>
          <w:u w:val="single"/>
        </w:rPr>
        <w:t>will</w:t>
      </w:r>
      <w:r>
        <w:rPr>
          <w:color w:val="000000"/>
        </w:rPr>
        <w:t xml:space="preserve">” </w:t>
      </w:r>
      <w:r>
        <w:rPr>
          <w:rFonts w:ascii="Times New Roman;sans-serif" w:hAnsi="Times New Roman;sans-serif"/>
          <w:b w:val="false"/>
          <w:color w:val="000000"/>
          <w:sz w:val="22"/>
        </w:rPr>
        <w:t>shall be construed to have the same meaning and effect as the word “</w:t>
      </w:r>
      <w:r>
        <w:rPr>
          <w:rFonts w:ascii="Times New Roman;sans-serif" w:hAnsi="Times New Roman;sans-serif"/>
          <w:b w:val="false"/>
          <w:color w:val="000000"/>
          <w:sz w:val="22"/>
          <w:u w:val="single"/>
        </w:rPr>
        <w:t>shall</w:t>
      </w:r>
      <w:r>
        <w:rPr>
          <w:rFonts w:ascii="Times New Roman;sans-serif" w:hAnsi="Times New Roman;sans-serif"/>
          <w:b w:val="false"/>
          <w:color w:val="000000"/>
          <w:sz w:val="22"/>
        </w:rPr>
        <w:t>.” Unless the context requires otherwise, (i) any definition of or reference to any agreement, instrument or other document (including any Loan Document or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sans-serif" w:hAnsi="Times New Roman;sans-serif"/>
          <w:b w:val="false"/>
          <w:color w:val="000000"/>
          <w:sz w:val="22"/>
          <w:u w:val="single"/>
        </w:rPr>
        <w:t>hereto</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herein</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hereof</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hereunder</w:t>
      </w:r>
      <w:r>
        <w:rPr>
          <w:rFonts w:ascii="Times New Roman;sans-serif" w:hAnsi="Times New Roman;sans-serif"/>
          <w:b w:val="false"/>
          <w:color w:val="000000"/>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sans-serif" w:hAnsi="Times New Roman;sans-serif"/>
          <w:b w:val="false"/>
          <w:color w:val="000000"/>
          <w:sz w:val="22"/>
          <w:u w:val="single"/>
        </w:rPr>
        <w:t>asset</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property</w:t>
      </w:r>
      <w:r>
        <w:rPr>
          <w:color w:val="000000"/>
        </w:rPr>
        <w:t xml:space="preserve">” </w:t>
      </w:r>
      <w:r>
        <w:rPr>
          <w:rFonts w:ascii="Times New Roman;sans-serif" w:hAnsi="Times New Roman;sans-serif"/>
          <w:b w:val="false"/>
          <w:color w:val="000000"/>
          <w:sz w:val="22"/>
        </w:rPr>
        <w:t>shall be construed to have the same meaning and effect and to refer to any and all assets and properties, tangible and intangible, real and personal, including cash, securities, accounts and contract rights.</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(ii)In the computation of periods of time from a specified date to a later specified date, the word “</w:t>
      </w:r>
      <w:r>
        <w:rPr>
          <w:rFonts w:ascii="Times New Roman;sans-serif" w:hAnsi="Times New Roman;sans-serif"/>
          <w:b w:val="false"/>
          <w:color w:val="000000"/>
          <w:sz w:val="22"/>
          <w:u w:val="single"/>
        </w:rPr>
        <w:t>from</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from and including</w:t>
      </w:r>
      <w:r>
        <w:rPr>
          <w:rFonts w:ascii="Times New Roman;sans-serif" w:hAnsi="Times New Roman;sans-serif"/>
          <w:b w:val="false"/>
          <w:color w:val="000000"/>
          <w:sz w:val="22"/>
        </w:rPr>
        <w:t>;” the words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until</w:t>
      </w:r>
      <w:r>
        <w:rPr>
          <w:color w:val="000000"/>
        </w:rPr>
        <w:t xml:space="preserve">” </w:t>
      </w:r>
      <w:r>
        <w:rPr>
          <w:rFonts w:ascii="Times New Roman;sans-serif" w:hAnsi="Times New Roman;sans-serif"/>
          <w:b w:val="false"/>
          <w:color w:val="000000"/>
          <w:sz w:val="22"/>
        </w:rPr>
        <w:t>each mean “</w:t>
      </w:r>
      <w:r>
        <w:rPr>
          <w:rFonts w:ascii="Times New Roman;sans-serif" w:hAnsi="Times New Roman;sans-serif"/>
          <w:b w:val="false"/>
          <w:color w:val="000000"/>
          <w:sz w:val="22"/>
          <w:u w:val="single"/>
        </w:rPr>
        <w:t>to but excluding</w:t>
      </w:r>
      <w:r>
        <w:rPr>
          <w:rFonts w:ascii="Times New Roman;sans-serif" w:hAnsi="Times New Roman;sans-serif"/>
          <w:b w:val="false"/>
          <w:color w:val="000000"/>
          <w:sz w:val="22"/>
        </w:rPr>
        <w:t>;” and the word “</w:t>
      </w:r>
      <w:r>
        <w:rPr>
          <w:rFonts w:ascii="Times New Roman;sans-serif" w:hAnsi="Times New Roman;sans-serif"/>
          <w:b w:val="false"/>
          <w:color w:val="000000"/>
          <w:sz w:val="22"/>
          <w:u w:val="single"/>
        </w:rPr>
        <w:t>through</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to and including</w:t>
      </w:r>
      <w:r>
        <w:rPr>
          <w:rFonts w:ascii="Times New Roman;sans-serif" w:hAnsi="Times New Roman;sans-serif"/>
          <w:b w:val="false"/>
          <w:color w:val="000000"/>
          <w:sz w:val="22"/>
        </w:rPr>
        <w:t>.”</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(iii)Section headings herein and in the other Loan Documents are included for convenience of reference only and shall not affect the interpretation of this Agreement or any other Loan Document.</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(iv)Any reference herein to a merger,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Accounting Terms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Notwithstanding the foregoing, for purposes of determining compliance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 any covenant (including the computation of any Financial Covenant) contained herein, Indebtedness of the Loan Parties and their Subsidiaries shall be deemed to be carried at 100% of the outstanding principal amount thereof, and the effects of FASB ASC 825 and FASB ASC 4670 20 on financial liabilities shall be disregarded.</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Changes in GAAP</w:t>
      </w:r>
      <w:r>
        <w:rPr>
          <w:rFonts w:ascii="Times New Roman;sans-serif" w:hAnsi="Times New Roman;sans-serif"/>
          <w:b w:val="false"/>
          <w:color w:val="000000"/>
          <w:sz w:val="22"/>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of the Borrower most recently available prior to the Closing Date for all purposes of this Agreement, notwithstanding any change in GAAP relating thereto (regardless of whether such change occurred prior to the Closing Date), unless the parties hereto shall enter into a mutually acceptable amendment addressing such changes, as provided for above.</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Consolidation of Variable Interest Entities</w:t>
      </w:r>
      <w:r>
        <w:rPr>
          <w:rFonts w:ascii="Times New Roman;sans-serif" w:hAnsi="Times New Roman;sans-serif"/>
          <w:b w:val="false"/>
          <w:color w:val="000000"/>
          <w:sz w:val="22"/>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Calculations</w:t>
      </w:r>
      <w:r>
        <w:rPr>
          <w:rFonts w:ascii="Times New Roman;sans-serif" w:hAnsi="Times New Roman;sans-serif"/>
          <w:b w:val="false"/>
          <w:color w:val="000000"/>
          <w:sz w:val="22"/>
        </w:rPr>
        <w:t>. Notwithstanding the above, the parties hereto acknowledge and agree that all calculations of the Financial Covenants (including for purposes of determining the Applicable Rate with respect to Revolving Loans, Swing Line Loans, Letter of Credit Fees and the Commitment Fees) shall be made on a Pro Forma Basis with respect to any Disposition (other than Permitted Transfers), Involuntary Disposition or Acquisition occurring during the applicable period.</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Limited Condition Acquisitions</w:t>
      </w:r>
      <w:r>
        <w:rPr>
          <w:rFonts w:ascii="Times New Roman;sans-serif" w:hAnsi="Times New Roman;sans-serif"/>
          <w:b w:val="false"/>
          <w:color w:val="000000"/>
          <w:sz w:val="22"/>
        </w:rPr>
        <w:t xml:space="preserve">. Notwithstanding anything to the contrary herein, to the extent that the terms of this Agreement require (i) compliance with any basket, financial ratio or test, (ii) the absence of a Default or an Event of Default, or (iii) a determination as to whether the representations and warranties contained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in each case in connection with the consummation of a Limited Condition Acquisition, the determination of whether the relevant condition is satisfied may be made, at the election of the Borrower, on the date of the execution of the Limited Condition Acquisition Agreement with respect to such Limited Condition Acquisition (such date, the “</w:t>
      </w:r>
      <w:r>
        <w:rPr>
          <w:rFonts w:ascii="Times New Roman;sans-serif" w:hAnsi="Times New Roman;sans-serif"/>
          <w:b w:val="false"/>
          <w:color w:val="000000"/>
          <w:sz w:val="22"/>
          <w:u w:val="single"/>
        </w:rPr>
        <w:t>LCA Test Date</w:t>
      </w:r>
      <w:r>
        <w:rPr>
          <w:color w:val="000000"/>
        </w:rPr>
        <w:t>”</w:t>
      </w:r>
      <w:r>
        <w:rPr>
          <w:rFonts w:ascii="Times New Roman;sans-serif" w:hAnsi="Times New Roman;sans-serif"/>
          <w:b w:val="false"/>
          <w:color w:val="000000"/>
          <w:sz w:val="22"/>
        </w:rPr>
        <w:t xml:space="preserve">), after giving effect to the relevant Limited Condition Acquisition and any related incurrence of Indebtedness, on a Pro Forma Basis;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notwithstanding the foregoing, in connection with any Limited Condition Acquisition: (A) if the proceeds of an Incremental Term Facility or a Term Facility Increase are being used to finance such Limited Condition Acquisition, then (1) the conditions set forth in </w:t>
      </w:r>
      <w:r>
        <w:rPr>
          <w:rFonts w:ascii="Times New Roman;sans-serif" w:hAnsi="Times New Roman;sans-serif"/>
          <w:b w:val="false"/>
          <w:color w:val="000000"/>
          <w:sz w:val="22"/>
          <w:u w:val="single"/>
        </w:rPr>
        <w:t>Section 2.01(b)(ii)(B)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2.01(b)(iii)(B)</w:t>
      </w:r>
      <w:r>
        <w:rPr>
          <w:rFonts w:ascii="Times New Roman;sans-serif" w:hAnsi="Times New Roman;sans-serif"/>
          <w:b w:val="false"/>
          <w:color w:val="000000"/>
          <w:sz w:val="22"/>
        </w:rPr>
        <w:t xml:space="preserve">, as applicable, and </w:t>
      </w:r>
      <w:r>
        <w:rPr>
          <w:rFonts w:ascii="Times New Roman;sans-serif" w:hAnsi="Times New Roman;sans-serif"/>
          <w:b w:val="false"/>
          <w:color w:val="000000"/>
          <w:sz w:val="22"/>
          <w:u w:val="single"/>
        </w:rPr>
        <w:t>Section 5.02(a)</w:t>
      </w:r>
      <w:r>
        <w:rPr>
          <w:rFonts w:ascii="Times New Roman;sans-serif" w:hAnsi="Times New Roman;sans-serif"/>
          <w:b w:val="false"/>
          <w:color w:val="000000"/>
          <w:sz w:val="22"/>
        </w:rPr>
        <w:t xml:space="preserve">, shall be required to be satisfied at the time of closing of the Limited Condition Acquisition and funding of such Incremental Term Facility or such Term Facility Increase, as applicable, but, if the Lenders providing such Incremental Term Facility or Term Facility Increase, as applicable, so agree, the representations and warranties which must be accurate at the time of closing of the Limited Condition Acquisition and funding of such Incremental Term Facility or such Term Facility Increase, as applicable, may be limited to customary “specified representations,”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customary “specified acquisition agreement representations,” and such other representations and warranties as may be required by the Lenders providing such Incremental Term Facility or such Term Facility Increase, as applicable, and (2) the conditions set forth in </w:t>
      </w:r>
      <w:r>
        <w:rPr>
          <w:rFonts w:ascii="Times New Roman;sans-serif" w:hAnsi="Times New Roman;sans-serif"/>
          <w:b w:val="false"/>
          <w:color w:val="000000"/>
          <w:sz w:val="22"/>
          <w:u w:val="single"/>
        </w:rPr>
        <w:t>Section 2.01(b)(ii)(A)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2.01(b)(iii)(A)</w:t>
      </w:r>
      <w:r>
        <w:rPr>
          <w:rFonts w:ascii="Times New Roman;sans-serif" w:hAnsi="Times New Roman;sans-serif"/>
          <w:b w:val="false"/>
          <w:color w:val="000000"/>
          <w:sz w:val="22"/>
        </w:rPr>
        <w:t xml:space="preserve">, as applicable, and </w:t>
      </w:r>
      <w:r>
        <w:rPr>
          <w:rFonts w:ascii="Times New Roman;sans-serif" w:hAnsi="Times New Roman;sans-serif"/>
          <w:b w:val="false"/>
          <w:color w:val="000000"/>
          <w:sz w:val="22"/>
          <w:u w:val="single"/>
        </w:rPr>
        <w:t>Section 5.02(b)</w:t>
      </w:r>
      <w:r>
        <w:rPr>
          <w:rFonts w:ascii="Times New Roman;sans-serif" w:hAnsi="Times New Roman;sans-serif"/>
          <w:b w:val="false"/>
          <w:color w:val="000000"/>
          <w:sz w:val="22"/>
        </w:rPr>
        <w:t xml:space="preserve">, shall, if and to the extent the Lenders providing such Incremental Term Facility or such Term Facility Increase, as applicable, so agree, be satisfied if (x) no Default shall have occurred and be continuing as of the applicable LCA Test Date, and (y) no Specified Event of Default shall have occurred and be continuing at the time of the funding of such Incremental Term Facility or such Term Facility Increase, as applicable, in connection with the consummation of such Limited Condition Acquisition; and (B) such Limited Condition Acquisition, any related pro forma adjustments, and the related Indebtedness to be incurred in connection therewith and the use of proceeds thereof shall be deemed consummated, made, incurred and/or applied at the applicable LCA Test Date (until such time as the Indebtedness is actually incurred or the applicable Limited Condition Acquisition Agreement is terminated without actually consummating the applicable Limited Condition Acquisition) and outstanding thereafter for purposes of determining Pro Forma Compliance (other than (1) for purposes of determining Pro Forma Compliance in connection with the making of any Restricted Payment or the making of any Voluntary Prepayment, (2) for purposes of determining compliance with </w:t>
      </w:r>
      <w:r>
        <w:rPr>
          <w:rFonts w:ascii="Times New Roman;sans-serif" w:hAnsi="Times New Roman;sans-serif"/>
          <w:b w:val="false"/>
          <w:color w:val="000000"/>
          <w:sz w:val="22"/>
          <w:u w:val="single"/>
        </w:rPr>
        <w:t>Section 8.11</w:t>
      </w:r>
      <w:r>
        <w:rPr>
          <w:rFonts w:ascii="Times New Roman;sans-serif" w:hAnsi="Times New Roman;sans-serif"/>
          <w:b w:val="false"/>
          <w:color w:val="000000"/>
          <w:sz w:val="22"/>
        </w:rPr>
        <w:t xml:space="preserve">) with any financial ratio or test (it being understood and agreed that for purposes of determining Pro Forma Compliance in connection with the making of any Restricted Payment or the making of any Voluntary Prepayment, the Borrower shall demonstrate compliance with the applicable test both after giving effect to the applicable Limited Condition Acquisition and assuming that such transaction has not occurred). For the avoidance of doubt, if any of such ratios or amounts for which compliance was determined or tested as of the applicable LCA Test Date are thereafter exceeded or otherwise failed to have been complied with as a result of fluctuations in such ratio or amount, at or prior to the consummation of the relevant Limited Condition Acquisition, such ratios or amounts will not be deemed to have been exceeded or failed to be complied with as a result of such fluctuations solely for purposes of determining whether the relevant Limited Condition Acquisition is permitted to be consummated. Except as set forth in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in the proviso to the first sentence in this </w:t>
      </w:r>
      <w:r>
        <w:rPr>
          <w:rFonts w:ascii="Times New Roman;sans-serif" w:hAnsi="Times New Roman;sans-serif"/>
          <w:b w:val="false"/>
          <w:color w:val="000000"/>
          <w:sz w:val="22"/>
          <w:u w:val="single"/>
        </w:rPr>
        <w:t>Section 1.03(e)</w:t>
      </w:r>
      <w:r>
        <w:rPr>
          <w:color w:val="000000"/>
        </w:rPr>
        <w:t xml:space="preserve"> </w:t>
      </w:r>
      <w:r>
        <w:rPr>
          <w:rFonts w:ascii="Times New Roman;sans-serif" w:hAnsi="Times New Roman;sans-serif"/>
          <w:b w:val="false"/>
          <w:color w:val="000000"/>
          <w:sz w:val="22"/>
        </w:rPr>
        <w:t xml:space="preserve">in connection with the use of the proceeds of an Incremental Term Facility or Term Facility Increase to finance a Limited Condition Acquisition (and, in the case of such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xml:space="preserve">, only if and to the extent the Lenders providing such Incremental Term Facility or such Term Facility Increase, as applicable, so agree as provided in such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xml:space="preserve">), it is understood and agreed that this </w:t>
      </w:r>
      <w:r>
        <w:rPr>
          <w:rFonts w:ascii="Times New Roman;sans-serif" w:hAnsi="Times New Roman;sans-serif"/>
          <w:b w:val="false"/>
          <w:color w:val="000000"/>
          <w:sz w:val="22"/>
          <w:u w:val="single"/>
        </w:rPr>
        <w:t>Section 1.03(e)</w:t>
      </w:r>
      <w:r>
        <w:rPr>
          <w:color w:val="000000"/>
        </w:rPr>
        <w:t xml:space="preserve"> </w:t>
      </w:r>
      <w:r>
        <w:rPr>
          <w:rFonts w:ascii="Times New Roman;sans-serif" w:hAnsi="Times New Roman;sans-serif"/>
          <w:b w:val="false"/>
          <w:color w:val="000000"/>
          <w:sz w:val="22"/>
        </w:rPr>
        <w:t xml:space="preserve">shall not limit the conditions set forth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with respect to any proposed Credit Extension, in connection with a Limited Condition Acquisition or otherwise.</w:t>
      </w:r>
    </w:p>
    <w:p>
      <w:pPr>
        <w:pStyle w:val="TextBody"/>
        <w:bidi w:val="0"/>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u w:val="single"/>
        </w:rPr>
        <w:t>Rounding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u w:val="single"/>
        </w:rPr>
        <w:t>Times of Day; Rates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specified, all references herein to times of day shall be references to Eastern time (daylight or standard, as applicable).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any Successor Rate) (or any component of any of the foregoing) or any related spread or other adjustments thereto, in each case, in a manner adverse to the Borrower. The Administrative Agent may select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information sources or services in its reasonable discretion to ascertain any reference rate referred to herein or any alternative, successor or replacement rate (including any Successor Rate) </w:t>
      </w:r>
      <w:r>
        <w:rPr>
          <w:rFonts w:ascii="Times New Roman;sans-serif" w:hAnsi="Times New Roman;sans-serif"/>
          <w:b/>
          <w:color w:val="000000"/>
          <w:sz w:val="22"/>
        </w:rPr>
        <w:t>(</w:t>
      </w:r>
      <w:r>
        <w:rPr>
          <w:rFonts w:ascii="Times New Roman;sans-serif" w:hAnsi="Times New Roman;sans-serif"/>
          <w:b w:val="false"/>
          <w:color w:val="000000"/>
          <w:sz w:val="22"/>
        </w:rPr>
        <w:t>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u w:val="single"/>
        </w:rPr>
        <w:t>Letter of Credit Amounts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Unless otherwise specified herein, the amount of a Letter of Credit at any time shall be deemed to be the stated amount of such Letter of Credit in effect at such time;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lineRule="auto" w:line="240" w:before="0" w:after="240"/>
        <w:jc w:val="center"/>
        <w:rPr/>
      </w:pPr>
      <w:r>
        <w:rPr>
          <w:rFonts w:ascii="Times New Roman;sans-serif" w:hAnsi="Times New Roman;sans-serif"/>
          <w:b/>
          <w:color w:val="000000"/>
          <w:sz w:val="22"/>
        </w:rPr>
        <w:t>Article 2.</w:t>
      </w:r>
      <w:r>
        <w:rPr>
          <w:rFonts w:ascii="Times New Roman;sans-serif" w:hAnsi="Times New Roman;sans-serif"/>
          <w:b/>
          <w:color w:val="000000"/>
          <w:sz w:val="22"/>
        </w:rPr>
        <w:br/>
        <w:br/>
        <w:t>THE COMMITMENTS AND CREDIT EXTENSIONS</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Loans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Revolving Loans</w:t>
      </w:r>
      <w:r>
        <w:rPr>
          <w:rFonts w:ascii="Times New Roman;sans-serif" w:hAnsi="Times New Roman;sans-serif"/>
          <w:b w:val="false"/>
          <w:color w:val="000000"/>
          <w:sz w:val="22"/>
        </w:rPr>
        <w:t>. Subject to the terms and conditions set forth herein, each Revolving Lender severally agrees to make loans (each such loan, a “</w:t>
      </w:r>
      <w:r>
        <w:rPr>
          <w:rFonts w:ascii="Times New Roman;sans-serif" w:hAnsi="Times New Roman;sans-serif"/>
          <w:b w:val="false"/>
          <w:color w:val="000000"/>
          <w:sz w:val="22"/>
          <w:u w:val="single"/>
        </w:rPr>
        <w:t>Revolving Loan</w:t>
      </w:r>
      <w:r>
        <w:rPr>
          <w:color w:val="000000"/>
        </w:rPr>
        <w:t>”</w:t>
      </w:r>
      <w:r>
        <w:rPr>
          <w:rFonts w:ascii="Times New Roman;sans-serif" w:hAnsi="Times New Roman;sans-serif"/>
          <w:b w:val="false"/>
          <w:color w:val="000000"/>
          <w:sz w:val="22"/>
        </w:rPr>
        <w:t xml:space="preserve">) to the Borrower in Dollars from time to time on any Business Day during the Availability Period in an aggregate amount not to exceed at any time outstanding the amount of such Revolving Lender’s Revolving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that after giving effect to any Revolving Borrowing, (i) the Total Revolving Outstandings shall not exceed the Aggregate Revolving Commitments and (ii) the Revolving Credit Exposure of any Revolving Lender shall not exceed such Revolving Lender’s Revolving Commitment. Within the limits of each Revolving Lender’s Revolving Commitment, and subject to the other terms and conditions hereof, the Borrower may borrow Revolving Loans under this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 xml:space="preserve">, prepay Revolving Loans under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and reborrow Revolving Loans under this </w:t>
      </w:r>
      <w:r>
        <w:rPr>
          <w:rFonts w:ascii="Times New Roman;sans-serif" w:hAnsi="Times New Roman;sans-serif"/>
          <w:b w:val="false"/>
          <w:color w:val="000000"/>
          <w:sz w:val="22"/>
          <w:u w:val="single"/>
        </w:rPr>
        <w:t>Section 2.01(a)</w:t>
      </w:r>
      <w:r>
        <w:rPr>
          <w:rFonts w:ascii="Times New Roman;sans-serif" w:hAnsi="Times New Roman;sans-serif"/>
          <w:b w:val="false"/>
          <w:color w:val="000000"/>
          <w:sz w:val="22"/>
        </w:rPr>
        <w:t>. Revolving Loans may consist of Base Rate Loans or Term SOFR Loans or a combination thereof, as further provided herein.</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Increases of the Aggregate Revolving Commitments; Incremental Term Facilities; Term Facility Increases</w:t>
      </w:r>
      <w:r>
        <w:rPr>
          <w:rFonts w:ascii="Times New Roman;sans-serif" w:hAnsi="Times New Roman;sans-serif"/>
          <w:b w:val="false"/>
          <w:color w:val="000000"/>
          <w:sz w:val="22"/>
        </w:rPr>
        <w:t>. At any time after the Seventh Amendment Effective Date, the Borrower shall have the right, upon at least five Business Days’ prior written notice to the Administrative Agent, to increase the Aggregate Revolving Commitments (but not the Letter of Credit Sublimit or Swing Line Sublimit), establish one or more new tranches of term loans advanced to the Borrower in Dollars under this Agreement (each such new tranche of term loans being an “</w:t>
      </w:r>
      <w:r>
        <w:rPr>
          <w:rFonts w:ascii="Times New Roman;sans-serif" w:hAnsi="Times New Roman;sans-serif"/>
          <w:b w:val="false"/>
          <w:color w:val="000000"/>
          <w:sz w:val="22"/>
          <w:u w:val="single"/>
        </w:rPr>
        <w:t>Incremental Term Facility</w:t>
      </w:r>
      <w:r>
        <w:rPr>
          <w:color w:val="000000"/>
        </w:rPr>
        <w:t>”</w:t>
      </w:r>
      <w:r>
        <w:rPr>
          <w:rFonts w:ascii="Times New Roman;sans-serif" w:hAnsi="Times New Roman;sans-serif"/>
          <w:b w:val="false"/>
          <w:color w:val="000000"/>
          <w:sz w:val="22"/>
        </w:rPr>
        <w:t>), and/or incur additional Incremental Term Loans under any then-existing Incremental Term Facility (each such incurrence of additional Incremental Term Loans under any then-existing Incremental Term Facility, a “</w:t>
      </w:r>
      <w:r>
        <w:rPr>
          <w:rFonts w:ascii="Times New Roman;sans-serif" w:hAnsi="Times New Roman;sans-serif"/>
          <w:b w:val="false"/>
          <w:color w:val="000000"/>
          <w:sz w:val="22"/>
          <w:u w:val="single"/>
        </w:rPr>
        <w:t>Term Facility Increase</w:t>
      </w:r>
      <w:r>
        <w:rPr>
          <w:color w:val="000000"/>
        </w:rPr>
        <w:t>”</w:t>
      </w:r>
      <w:r>
        <w:rPr>
          <w:rFonts w:ascii="Times New Roman;sans-serif" w:hAnsi="Times New Roman;sans-serif"/>
          <w:b w:val="false"/>
          <w:color w:val="000000"/>
          <w:sz w:val="22"/>
        </w:rPr>
        <w:t>; each such increase in the Aggregate Revolving Commitments, each Incremental Term Facility, and each Term Facility Increase, an “</w:t>
      </w:r>
      <w:r>
        <w:rPr>
          <w:rFonts w:ascii="Times New Roman;sans-serif" w:hAnsi="Times New Roman;sans-serif"/>
          <w:b w:val="false"/>
          <w:color w:val="000000"/>
          <w:sz w:val="22"/>
          <w:u w:val="single"/>
        </w:rPr>
        <w:t>Incremental Facility</w:t>
      </w:r>
      <w:r>
        <w:rPr>
          <w:color w:val="000000"/>
        </w:rPr>
        <w:t>”</w:t>
      </w:r>
      <w:r>
        <w:rPr>
          <w:rFonts w:ascii="Times New Roman;sans-serif" w:hAnsi="Times New Roman;sans-serif"/>
          <w:b w:val="false"/>
          <w:color w:val="000000"/>
          <w:sz w:val="22"/>
        </w:rPr>
        <w:t>), by a maximum aggregate amount for all such Incremental Facilities incurred after the Seventh Amendment Effective Date not to exceed $100,000,000 in the aggregate.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Increases in Aggregate Revolving Commitments</w:t>
      </w:r>
      <w:r>
        <w:rPr>
          <w:rFonts w:ascii="Times New Roman;sans-serif" w:hAnsi="Times New Roman;sans-serif"/>
          <w:b w:val="false"/>
          <w:color w:val="000000"/>
          <w:sz w:val="22"/>
        </w:rPr>
        <w:t xml:space="preserve">. Any increase of the Aggregate Revolving Commitments pursuant to this </w:t>
      </w:r>
      <w:r>
        <w:rPr>
          <w:rFonts w:ascii="Times New Roman;sans-serif" w:hAnsi="Times New Roman;sans-serif"/>
          <w:b w:val="false"/>
          <w:color w:val="000000"/>
          <w:sz w:val="22"/>
          <w:u w:val="single"/>
        </w:rPr>
        <w:t>Section 2.01(b)</w:t>
      </w:r>
      <w:r>
        <w:rPr>
          <w:color w:val="000000"/>
        </w:rPr>
        <w:t xml:space="preserve"> </w:t>
      </w:r>
      <w:r>
        <w:rPr>
          <w:rFonts w:ascii="Times New Roman;sans-serif" w:hAnsi="Times New Roman;sans-serif"/>
          <w:b w:val="false"/>
          <w:color w:val="000000"/>
          <w:sz w:val="22"/>
        </w:rPr>
        <w:t>shall be on the same terms and conditions as are applicable to the Aggregate Revolving Commitments in effect immediately prior to such increase, and otherwise subject to the satisfaction of the following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(1)no Default shall have occurred and be continuing on the date on which such increase is to become effective and immediately after giving effect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(2)after giving effect to such increase, the representations and warranties contained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and the other Loan Documents, or which are contained in any document furnished at any time under or in connection herewith or therewith, are true and correct in all material respects (or in all respects, if such representation and warranty is already qualified by materiality or reference to Material Adverse Effect) on and as of the date of such increase, except to the extent that such representations and warranties specifically refer to an earlier date, in which case they shall be true and correct in all material respects (or in all respects, if such representation or and warranty is already qualified by materiality or reference to Material Adverse Effect) as of such earlier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(3)such increase shall be in a minimum amount of $5,000,000 and in integral multiples of $1,000,000 in excess thereof (or such lesser amount as the Administrative Agent may agree in its sole discretion);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(4)such requested increase shall only be effective upon receipt by the Administrative Agent of (1) additional Revolving Commitments in a corresponding amount of such requested increase from either existing Lenders and/or one or more other institutions that qualify as Eligible Assignees (it being understood and agreed that no existing Lender shall be required to provide an additional Revolving Commitment) and (2) documentation from each institution providing an additional Revolving Commitment evidencing its additional Revolving Commitment and its obligations under this Agreement in form and substance reasonably acceptable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(5)the Administrative Agent shall have received all documents (including resolutions of the board of directors of the Borrower and the Guarantors) it may reasonably request relating to the corporate or other necessary authority for such increase and the validity of such increase in the Aggregate Revolving Commitments, and any other matters relevant thereto, all in form and substance reasonably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(6)if any Revolving Loans are outstanding at the time of the increase in the Aggregate Revolving Commitments, the Borrower shall, if applicable, prepay one or more existing Revolving Loans (such prepayment to be subject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in an amount necessary such that after giving effect to the increase in the Aggregate Revolving Commitments, each Lender will hold its pro rata share (based on its Applicable Revolving Percentage of the increased Aggregate Revolving Commitments) of outstanding Revolving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shall be deemed revised to include any increase in the Aggregate Revolving Commitments pursuant to this </w:t>
      </w:r>
      <w:r>
        <w:rPr>
          <w:rFonts w:ascii="Times New Roman;sans-serif" w:hAnsi="Times New Roman;sans-serif"/>
          <w:b w:val="false"/>
          <w:color w:val="000000"/>
          <w:sz w:val="22"/>
          <w:u w:val="single"/>
        </w:rPr>
        <w:t>Section 2.01(b)</w:t>
      </w:r>
      <w:r>
        <w:rPr>
          <w:color w:val="000000"/>
        </w:rPr>
        <w:t xml:space="preserve"> </w:t>
      </w:r>
      <w:r>
        <w:rPr>
          <w:rFonts w:ascii="Times New Roman;sans-serif" w:hAnsi="Times New Roman;sans-serif"/>
          <w:b w:val="false"/>
          <w:color w:val="000000"/>
          <w:sz w:val="22"/>
        </w:rPr>
        <w:t xml:space="preserve">and to include thereon any Person that becomes a Lender pursuant to this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(8)the Administrative Agent shall have received such amendments to the Collateral Documents as the Administrative Agent reasonably requests to cause the Collateral Documents to secure the Obligations after giving effect to such increase.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Incremental Term Facilities</w:t>
      </w:r>
      <w:r>
        <w:rPr>
          <w:rFonts w:ascii="Times New Roman;sans-serif" w:hAnsi="Times New Roman;sans-serif"/>
          <w:b w:val="false"/>
          <w:color w:val="000000"/>
          <w:sz w:val="22"/>
        </w:rPr>
        <w:t>. The establishment of any Incremental Term Facility shall be subject to the satisfaction of the following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(1)no Default shall have occurred and be continuing on the date on which such Incremental Term Facility is established and immediately after giving effect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(2)after giving effect to the establishment of such Incremental Term Facility, the representations and warranties contained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and the other Loan Documents, or which are contained in any document furnished at any time under or in connection herewith or therewith, are true and correct in all material respects (or in all respects, if such representation and warranty is already qualified by materiality or reference to Material Adverse Effect) on and as of the date of such establishment, except to the extent that such representations and warranties specifically refer to an earlier date, in which case they shall be true and correct in all material respects (or in all respects, if such representation or and warranty is already qualified by materiality or reference to Material Adverse Effect) as of such earlier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(3)such Incremental Term Facility shall be in a minimum amount of $5,000,000 and in integral multiples of $1,000,000 in excess thereof (or such lesser amount as the Administrative Agent may agree in its sole discretion);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(4)such Incremental Term Facility shall only be effective upon receipt by the Administrative Agent of Incremental Term Commitments for such Incremental Term Facility from either existing Lenders and/or one or more other institutions that qualify as Eligible Assignees, which Persons shall join in this Agreement as Incremental Term Lenders by executing an agreement, in form and substance satisfactory to the Administrative Agent, setting forth the terms applicable to such Incremental Term Facility in accordance with this </w:t>
      </w:r>
      <w:r>
        <w:rPr>
          <w:rFonts w:ascii="Times New Roman;sans-serif" w:hAnsi="Times New Roman;sans-serif"/>
          <w:b w:val="false"/>
          <w:color w:val="000000"/>
          <w:sz w:val="22"/>
          <w:u w:val="single"/>
        </w:rPr>
        <w:t>Section 2.01(b)</w:t>
      </w:r>
      <w:r>
        <w:rPr>
          <w:color w:val="000000"/>
        </w:rPr>
        <w:t xml:space="preserve"> </w:t>
      </w:r>
      <w:r>
        <w:rPr>
          <w:rFonts w:ascii="Times New Roman;sans-serif" w:hAnsi="Times New Roman;sans-serif"/>
          <w:b w:val="false"/>
          <w:color w:val="000000"/>
          <w:sz w:val="22"/>
        </w:rPr>
        <w:t>(any such agreement, an “</w:t>
      </w:r>
      <w:r>
        <w:rPr>
          <w:rFonts w:ascii="Times New Roman;sans-serif" w:hAnsi="Times New Roman;sans-serif"/>
          <w:b w:val="false"/>
          <w:color w:val="000000"/>
          <w:sz w:val="22"/>
          <w:u w:val="single"/>
        </w:rPr>
        <w:t>Incremental Term Facility Agreement</w:t>
      </w:r>
      <w:r>
        <w:rPr>
          <w:color w:val="000000"/>
        </w:rPr>
        <w:t>”</w:t>
      </w:r>
      <w:r>
        <w:rPr>
          <w:rFonts w:ascii="Times New Roman;sans-serif" w:hAnsi="Times New Roman;sans-serif"/>
          <w:b w:val="false"/>
          <w:color w:val="000000"/>
          <w:sz w:val="22"/>
        </w:rPr>
        <w:t>), it being understood and agreed that in connection with any Incremental Term Facility, (1) the Incremental Term Facility Agreement for such Incremental Term Facility shall only be required to be executed by the Incremental Term Lenders for such Incremental Term Facility, the Loan Parties, and the Administrative Agent (and, for the avoidance of doubt, shall not require the consent of any other Person (including any Lender)), and (2) no existing Lender shall be under any obligation to become an Incremental Term Lender and any such decision whether to become an Incremental Term Lender shall be in such Lender’s sole and absolute discretion;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(5)the Administrative Agent shall have received all documents (including resolutions of the board of directors of the Borrower and the Guarantors) it may reasonably request relating to the corporate or other necessary authority for such Incremental Term Facility and the validity of such Incremental Term Facility, and any other matters relevant thereto, all in form and substance reasonably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(6)the Incremental Term Facility Maturity Date for such Incremental Term Facility shall be as set forth in the Incremental Term Facility Agreement relating to such Incremental Term Facility;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date shall not be earlier than the then-Latest Maturity Date;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(7)the interest rates, interest rate floors, upfront fees and original issue discount for any such Incremental Term Facility shall be as determined by the Borrower and the Incremental Term Lenders providing such Incremental Term Facility;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(8)(1) any such Incremental Term Facility shall rank pari passu in right of payment with the Obligations and in respect of the Collateral; (2) no Subsidiary shall be a guarantor with respect to any such Incremental Term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Facility unless such Subsidiary is a Loan Party; and (3) no property or assets of the Borrower or any of its Subsidiaries shall secure any such Incremental Term Facility unless such property or assets constitute Collateral;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(9)except as otherwise permitted by this </w:t>
      </w:r>
      <w:r>
        <w:rPr>
          <w:rFonts w:ascii="Times New Roman;sans-serif" w:hAnsi="Times New Roman;sans-serif"/>
          <w:b w:val="false"/>
          <w:color w:val="000000"/>
          <w:sz w:val="22"/>
          <w:u w:val="single"/>
        </w:rPr>
        <w:t>Section 2.01(b)(ii)</w:t>
      </w:r>
      <w:r>
        <w:rPr>
          <w:rFonts w:ascii="Times New Roman;sans-serif" w:hAnsi="Times New Roman;sans-serif"/>
          <w:b w:val="false"/>
          <w:color w:val="000000"/>
          <w:sz w:val="22"/>
        </w:rPr>
        <w:t>, all other terms of any such Incremental Term Facility, if not consistent with the terms for any other then-existing Class of Incremental Term Loans, shall be as agreed between the Borrower and the Incremental Term Lenders providing such Incremental Term Facility, with such other terms not consistent with any other then-existing Class of Incremental Term Loans to be reasonably satisfactory to the Administrative Agent (it being understood and agreed that: (1) any Incremental Term Facility may be structured as a “delayed draw” term facility if and to the extent the Incremental Term Lenders providing such Incremental Term Facility so agree; and (2) the following shall be deemed to be satisfactory to the Administrative Agent: (x) covenants or other provisions applicable only to periods after the then-Latest Maturity Date; (y) covenants or other provisions that are not set forth in the Loan Documents at the time of incurrence of such Incremental Term Facility, so long as the Loan Documents are amended to include such covenants or other provisions for the benefit of the Administrative Agent and the Lenders at the time of the incurrence of such Incremental Term Facility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it is understood and agreed that, notwithstanding this </w:t>
      </w:r>
      <w:r>
        <w:rPr>
          <w:rFonts w:ascii="Times New Roman;sans-serif" w:hAnsi="Times New Roman;sans-serif"/>
          <w:b w:val="false"/>
          <w:color w:val="000000"/>
          <w:sz w:val="22"/>
          <w:u w:val="single"/>
        </w:rPr>
        <w:t>clause (y)</w:t>
      </w:r>
      <w:r>
        <w:rPr>
          <w:rFonts w:ascii="Times New Roman;sans-serif" w:hAnsi="Times New Roman;sans-serif"/>
          <w:b w:val="false"/>
          <w:color w:val="000000"/>
          <w:sz w:val="22"/>
        </w:rPr>
        <w:t>, to the extent any financial maintenance covenant is added to this Agreement in connection with the implementation of an Incremental Term Facility, such financial maintenance covenant may be added to this Agreement solely for the benefit of the Lenders providing such Incremental Term Facility (and any other Lenders providing any other then-existing Class of Loans for which a financial maintenance covenant applies) and not for the benefit of any other Lenders); and (z) customary call protection and mandatory prepayments, in each case, which may be applicable solely with respect to such Incremental Term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shall be deemed revised to include any Incremental Term Facility pursuant to this </w:t>
      </w:r>
      <w:r>
        <w:rPr>
          <w:rFonts w:ascii="Times New Roman;sans-serif" w:hAnsi="Times New Roman;sans-serif"/>
          <w:b w:val="false"/>
          <w:color w:val="000000"/>
          <w:sz w:val="22"/>
          <w:u w:val="single"/>
        </w:rPr>
        <w:t>Section 2.01(b)</w:t>
      </w:r>
      <w:r>
        <w:rPr>
          <w:color w:val="000000"/>
        </w:rPr>
        <w:t xml:space="preserve"> </w:t>
      </w:r>
      <w:r>
        <w:rPr>
          <w:rFonts w:ascii="Times New Roman;sans-serif" w:hAnsi="Times New Roman;sans-serif"/>
          <w:b w:val="false"/>
          <w:color w:val="000000"/>
          <w:sz w:val="22"/>
        </w:rPr>
        <w:t xml:space="preserve">and to include thereon any Person that becomes a Lender pursuant to this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(11)the Administrative Agent shall have received such amendments to the Collateral Documents as the Administrative Agent reasonably requests to cause the Collateral Documents to secure the Obligations after giving effect to such increase.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Term Facility Increases</w:t>
      </w:r>
      <w:r>
        <w:rPr>
          <w:rFonts w:ascii="Times New Roman;sans-serif" w:hAnsi="Times New Roman;sans-serif"/>
          <w:b w:val="false"/>
          <w:color w:val="000000"/>
          <w:sz w:val="22"/>
        </w:rPr>
        <w:t xml:space="preserve">. Any Term Facility Increase pursuant to this </w:t>
      </w:r>
      <w:r>
        <w:rPr>
          <w:rFonts w:ascii="Times New Roman;sans-serif" w:hAnsi="Times New Roman;sans-serif"/>
          <w:b w:val="false"/>
          <w:color w:val="000000"/>
          <w:sz w:val="22"/>
          <w:u w:val="single"/>
        </w:rPr>
        <w:t>Section 2.01(b)</w:t>
      </w:r>
      <w:r>
        <w:rPr>
          <w:color w:val="000000"/>
        </w:rPr>
        <w:t xml:space="preserve"> </w:t>
      </w:r>
      <w:r>
        <w:rPr>
          <w:rFonts w:ascii="Times New Roman;sans-serif" w:hAnsi="Times New Roman;sans-serif"/>
          <w:b w:val="false"/>
          <w:color w:val="000000"/>
          <w:sz w:val="22"/>
        </w:rPr>
        <w:t>shall be on the same terms and conditions as are applicable to the Incremental Term Facility under which such additional Incremental Term Loans are advanced (as in effect immediately prior to such Term Facility Increase; it being understood and agreed that any Incremental Term Loans advanced in connection with any Term Facility Increase shall constitute Incremental Term Loans of the same Class as the Incremental Term Loans applicable to the Incremental Term Facility to which such Term Facility Increase applies), and otherwise subject to the satisfaction of the following conditions: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(1)no Default shall have occurred and be continuing on the date on which such Term Facility Increase is to become effective and immediately after giving effect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(2)after giving effect to such Term Facility Increase, the representations and warranties contained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 xml:space="preserve">and the other Loan Documents, or which are contained in any document furnished at any time under or in connection herewith or therewith, are true and correct in all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respects (or in all respects, if such representation and warranty is already qualified by materiality or reference to Material Adverse Effect) on and as of the date of such Term Facility Increase, except to the extent that such representations and warranties specifically refer to an earlier date, in which case they shall be true and correct in all material respects (or in all respects, if such representation or and warranty is already qualified by materiality or reference to Material Adverse Effect) as of such earlier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(3)such Term Facility Increase shall be in a minimum amount of $5,000,000 and in integral multiples of $1,000,000 in excess thereof (or such lesser amount as the Administrative Agent may agree in its sole discretion);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(4)such requested Term Facility Increase shall only be effective upon receipt by the Administrative Agent of (1) additional Commitments in a corresponding amount of such requested Term Facility Increase from either existing Lenders and/or one or more other institutions that qualify as Eligible Assignees (it being understood and agreed that no existing Lender shall be required to provide an additional Commitment) and (2) documentation from each institution providing an additional Commitment evidencing its additional Commitment and its obligations under this Agreement in form and substance reasonably acceptable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(5)the Administrative Agent shall have received all documents (including resolutions of the board of directors of the Borrower and the Guarantors) it may reasonably request relating to the corporate or other necessary authority for such Term Facility Increase and the validity of such Term Facility Increase, and any other matters relevant thereto, all in form and substance reasonably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shall be deemed revised to include any Term Facility Increase pursuant to this </w:t>
      </w:r>
      <w:r>
        <w:rPr>
          <w:rFonts w:ascii="Times New Roman;sans-serif" w:hAnsi="Times New Roman;sans-serif"/>
          <w:b w:val="false"/>
          <w:color w:val="000000"/>
          <w:sz w:val="22"/>
          <w:u w:val="single"/>
        </w:rPr>
        <w:t>Section 2.01(b)</w:t>
      </w:r>
      <w:r>
        <w:rPr>
          <w:color w:val="000000"/>
        </w:rPr>
        <w:t xml:space="preserve"> </w:t>
      </w:r>
      <w:r>
        <w:rPr>
          <w:rFonts w:ascii="Times New Roman;sans-serif" w:hAnsi="Times New Roman;sans-serif"/>
          <w:b w:val="false"/>
          <w:color w:val="000000"/>
          <w:sz w:val="22"/>
        </w:rPr>
        <w:t xml:space="preserve">and to include thereon any Person that becomes a Lender pursuant to this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(7)the Administrative Agent shall have received such amendments to the Collateral Documents as the Administrative Agent reasonably requests to cause the Collateral Documents to secure the Obligations after giving effect to such Term Facility Increase.</w:t>
      </w:r>
    </w:p>
    <w:p>
      <w:pPr>
        <w:pStyle w:val="TextBody"/>
        <w:bidi w:val="0"/>
        <w:spacing w:lineRule="auto" w:line="304" w:before="0" w:after="240"/>
        <w:ind w:left="0" w:right="0" w:firstLine="720"/>
        <w:jc w:val="both"/>
        <w:rPr/>
      </w:pPr>
      <w:r>
        <w:rPr>
          <w:rFonts w:ascii="Times New Roman;sans-serif" w:hAnsi="Times New Roman;sans-serif"/>
          <w:b w:val="false"/>
          <w:color w:val="000000"/>
          <w:sz w:val="22"/>
        </w:rPr>
        <w:t>This Agreement and the other Loan Documents shall be amended (and the Lenders hereby authorize the Administrative Agent to enter into any such amendments) to give effect to any Incremental Facility pursuant to documentation (any such documentation, including any Incremental Term Facility Agreement, an “</w:t>
      </w:r>
      <w:r>
        <w:rPr>
          <w:rFonts w:ascii="Times New Roman;sans-serif" w:hAnsi="Times New Roman;sans-serif"/>
          <w:b w:val="false"/>
          <w:color w:val="000000"/>
          <w:sz w:val="22"/>
          <w:u w:val="single"/>
        </w:rPr>
        <w:t>Incremental Facility Amendment Document</w:t>
      </w:r>
      <w:r>
        <w:rPr>
          <w:color w:val="000000"/>
        </w:rPr>
        <w:t>”</w:t>
      </w:r>
      <w:r>
        <w:rPr>
          <w:rFonts w:ascii="Times New Roman;sans-serif" w:hAnsi="Times New Roman;sans-serif"/>
          <w:b w:val="false"/>
          <w:color w:val="000000"/>
          <w:sz w:val="22"/>
        </w:rPr>
        <w:t xml:space="preserve">) executed by lenders providing such Incremental Facility, the Administrative Agent and the Loan Parties, without the consent of any other Person (including any existing Lender), including amendments (w) to reflect the existence and terms of such Incremental Facility, (x) to make such other changes to this Agreement and the other Loan Documents consistent with the provisions and intent of such Incremental Facility, including adding provisions to permit such Incremental Facility to share in the benefits of this Agreement and the other Loan Documents (including to permit any such Incremental Term Facility or any Term Facility Increase to share in any mandatory prepayment provided herein) and to include the lenders for such Incremental Facility in the definition of “Required Lenders”, the definition of “Required Revolving Lenders,” or any other similar voting provisions, as applicable, (y) notwithstanding any other provisions of this Agreement or any other Loan Documents to the contrary, if applicable, to permit the loans under such Incremental Facility to be “fungible” (including for purposes of the Internal Revenue Code)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304"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 any other then-existing Loans under this Agreement, and (z) to effect such other amendments to the this Agreement and the other Loan Documents as may be necessary or appropriate, in the reasonable opinion of the Administrative Agent, to effect the provisions of any such Incremental Facility.</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Borrowings, Conversions and Continuations of Loans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(i)Each Borrowing, each conversion of Loans from one Type to the other, and each continuation of Term SOFR Loans shall be made upon the Borrower’s irrevocable notice to the Administrative Agent, which may be given by telephone or a Loan Notice;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any telephonic notice must be confirmed immediately by delivery to the Administrative Agent of a Loan Notice. Each such notice must be received by the Administrative Agent not later than 11:00 a.m. (i) two (2) Business Days prior to the requested date of any Borrowing of, conversion to or continuation of, Term SOFR Loans or of any conversion of Term SOFR Loans to Base Rate Loans, and (ii) on the requested date of any Borrowing of Base Rate Loans. Each Borrowing of, conversion to or continuation of Term SOFR Loans shall be in a principal amount of $5,000,000 or a whole multiple of $1,000,000 in excess thereof. Except as provided in </w:t>
      </w:r>
      <w:r>
        <w:rPr>
          <w:rFonts w:ascii="Times New Roman;sans-serif" w:hAnsi="Times New Roman;sans-serif"/>
          <w:b w:val="false"/>
          <w:color w:val="000000"/>
          <w:sz w:val="22"/>
          <w:u w:val="single"/>
        </w:rPr>
        <w:t>Sections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2.04(c)</w:t>
      </w:r>
      <w:r>
        <w:rPr>
          <w:rFonts w:ascii="Times New Roman;sans-serif" w:hAnsi="Times New Roman;sans-serif"/>
          <w:b w:val="false"/>
          <w:color w:val="000000"/>
          <w:sz w:val="22"/>
        </w:rPr>
        <w:t xml:space="preserve">, each Borrowing of or conversion to Base Rate Loans shall be in a principal amount of $1,000,000 or a whole multiple of $500,000 in excess thereof. Each Loan Notice and each telephonic notice shall specify (A) the applicable Facility and whether the Borrower is requesting a Borrowing, a conversion of Loans from one Type to the other, or a continuation of Term SOFR Loans, in each case with respect to such Facility, (B) the requested date of the Borrowing, conversion or continuation, as the case may be (which shall be a Business Day), (C) the principal amount of Loans to be borrowed, converted or continued, (D) the Type of Loans to be borrowed or to which existing Loans are to be converted, and (E) 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Loan Notice, but fails to specify an Interest Period, it will be deemed to have specified an Interest Period of one month. </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as described in the preceding subsection. In the case of a Borrowing, each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(and, if such Borrowing is the initial Credit Extension,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on the date the Loan Notice with respect to a Revolving Borrowing is given by the Borrower, there are L/C Borrowings outstanding, then the proceeds of such Revolving Borrowing,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shall be applied to the payment in full of any such L/C Borrowings and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shall be made available to the Borrower as provided above.</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(iii)Except as otherwise provided herein, a Term SOFR Loan may be continued or converted only on the last day of the Interest Period for such Term SOFR Loan. During the existence of a Default, no Loans may be requested as, converted to or continued as Term SOFR Loans without the consent of the Required Lenders, and the Required Lenders may demand that any or all of the outstanding Term SOFR Loans be converted immediately to Base Rate Loans.</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(iv)Each determination of an interest rate by the Administrative Agent pursuant to any provision of this Agreement shall be conclusive and binding on the Borrower and the Lenders in the absence of manifest error.</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(v)After giving effect to all Borrowings, all conversions of Loans from one Type to the other, and all continuations of Loans as the same Type, there shall not be more than ten Interest Periods in effect with respect to all Loans.</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(vi)Notwithstanding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 xml:space="preserve">(vii)With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40" w:before="0" w:after="240"/>
        <w:ind w:left="0" w:right="0" w:firstLine="281"/>
        <w:jc w:val="both"/>
        <w:rPr/>
      </w:pPr>
      <w:r>
        <w:rPr>
          <w:rFonts w:ascii="Times New Roman;sans-serif" w:hAnsi="Times New Roman;sans-serif"/>
          <w:b w:val="false"/>
          <w:color w:val="000000"/>
          <w:sz w:val="22"/>
        </w:rPr>
        <w:t xml:space="preserve">(viii)This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shall not apply to Swing Line Loans.</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Letters of Credit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The Letter of Credit Commitment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(1)Subject to the terms and conditions set forth herein: (A) the L/C Issuer agrees, in reliance upon the agreements of the Revolving Lenders set forth in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xml:space="preserve">, (1) from time to time during the Availability Period on any Business Day during the period from the Closing Date until the Letter of Credit Expiration Date, to issue Letters of Credit in Dollars for the account of the Borrower or any of its Subsidiaries, and to amend or extend Letters of Credit previously issued by it, in accordance with </w:t>
      </w:r>
      <w:r>
        <w:rPr>
          <w:rFonts w:ascii="Times New Roman;sans-serif" w:hAnsi="Times New Roman;sans-serif"/>
          <w:b w:val="false"/>
          <w:color w:val="000000"/>
          <w:sz w:val="22"/>
          <w:u w:val="single"/>
        </w:rPr>
        <w:t>Section 2.03(b)</w:t>
      </w:r>
      <w:r>
        <w:rPr>
          <w:rFonts w:ascii="Times New Roman;sans-serif" w:hAnsi="Times New Roman;sans-serif"/>
          <w:b w:val="false"/>
          <w:color w:val="000000"/>
          <w:sz w:val="22"/>
        </w:rPr>
        <w:t xml:space="preserve">, and (2) to honor drawings under the Letters of Credit; and (B) the Revolving Lenders severally agree to participate in Letters of Credit issued for the account of the Borrower or its Subsidiaries and any drawings thereunder;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after giving effect to any L/C Credit Extension with respect to any Letter of Credit, (w) the Total Revolving Outstandings shall not exceed the Aggregate Revolving Commitments, (x) the Revolving Credit Exposure of any Revolving Lender shall not exceed such Revolving Lender’s Revolving Commitment, (y) the Outstanding Amount of the L/C Obligations shall not exceed the Letter of Credit Sublimit and (z) the aggregate amount of the outstanding Letters of Credit issued by the L/C Issuer shall not exceed its L/C Commitment.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deemed L/C Obligations, and from and after the Closing Date shall be subject to and governed by the terms and conditions 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(2)The L/C Issuer shall not issue any Letter of Credit if:</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(1)subject to </w:t>
      </w:r>
      <w:r>
        <w:rPr>
          <w:rFonts w:ascii="Times New Roman;sans-serif" w:hAnsi="Times New Roman;sans-serif"/>
          <w:b w:val="false"/>
          <w:color w:val="000000"/>
          <w:sz w:val="22"/>
          <w:u w:val="single"/>
        </w:rPr>
        <w:t>Section 2.03(b)(iii)</w:t>
      </w:r>
      <w:r>
        <w:rPr>
          <w:rFonts w:ascii="Times New Roman;sans-serif" w:hAnsi="Times New Roman;sans-serif"/>
          <w:b w:val="false"/>
          <w:color w:val="000000"/>
          <w:sz w:val="22"/>
        </w:rPr>
        <w:t>, the expiry date of such requested Letter of Credit would occur more than twelve months after the date of issuance or last extension, unless the Required Revolving Lenders have approved such expiry date;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(2)the expiry date of such requested Letter of Credit would occur after the Letter of Credit Expiration Date, unless (1) such L/C Issuer has entered into arrangements with the Borrower, including the delivery of Cash Collateral, reasonably satisfactory to such L/C Issuer, or (2) all the Revolving Lenders have approved such expiry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(3)The L/C Issuer shall not be under any obligation to issue any Letter of Credit if: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(2)the issuance of such Letter of Credit would violate one or more policies of the L/C Issuer applicable to letters of credit generally;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(3)such Letter of Credit is to be denominated in a currency other than Dollars;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(4)such Letter of Credit contains any provisions for automatic reinstatement of the stated amount after any drawing thereunder;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(5)any Revolving Lender is at that time a Defaulting Lender, unless the L/C Issuer has entered into arrangements, including the delivery of Cash Collateral, satisfactory to the L/C Issuer (in its sole discretion) with the Borrower or such Revolving Lender to eliminate the L/C Issuer’s actual or potential Fronting Exposure (after giving effect to </w:t>
      </w:r>
      <w:r>
        <w:rPr>
          <w:rFonts w:ascii="Times New Roman;sans-serif" w:hAnsi="Times New Roman;sans-serif"/>
          <w:b w:val="false"/>
          <w:color w:val="000000"/>
          <w:sz w:val="22"/>
          <w:u w:val="single"/>
        </w:rPr>
        <w:t>Section 2.15(b)</w:t>
      </w:r>
      <w:r>
        <w:rPr>
          <w:rFonts w:ascii="Times New Roman;sans-serif" w:hAnsi="Times New Roman;sans-serif"/>
          <w:b w:val="false"/>
          <w:color w:val="000000"/>
          <w:sz w:val="22"/>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(4)The L/C Issuer shall not amend any Letter of Credit if the L/C Issuer would not be permitted at such time to issue the Letter of Credit in its amended form under the terms 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(6)The L/C Issuer shall act on behalf of the Lenders with respect to any Letters of Credit issued by it and the documents associated therewith, and the L/C Issuer shall have all of the benefits and immunities (A) provided to the Administrative Agent in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 xml:space="preserve">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included the L/C Issuer with respect to such acts or omissions, and (B) as additionally provided herein with respect to the L/C Issuer.</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Procedures for Issuance and Amendment of Letters of Credit; Auto-Extension Letters of Credit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five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shall not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Revolving Lender shall be deemed to, and hereby irrevocably and unconditionally agrees to, purchase from the L/C Issuer a risk participation in such Letter of Credit in an amount equal to the product of such Revolving Lender’s Applicable Revolving Percentage </w:t>
      </w:r>
      <w:r>
        <w:rPr>
          <w:rFonts w:ascii="Times New Roman;sans-serif" w:hAnsi="Times New Roman;sans-serif"/>
          <w:b w:val="false"/>
          <w:color w:val="000000"/>
          <w:sz w:val="22"/>
          <w:u w:val="single"/>
        </w:rPr>
        <w:t>times</w:t>
      </w:r>
      <w:r>
        <w:rPr>
          <w:color w:val="000000"/>
        </w:rPr>
        <w:t xml:space="preserve"> </w:t>
      </w:r>
      <w:r>
        <w:rPr>
          <w:rFonts w:ascii="Times New Roman;sans-serif" w:hAnsi="Times New Roman;sans-serif"/>
          <w:b w:val="false"/>
          <w:color w:val="000000"/>
          <w:sz w:val="22"/>
        </w:rPr>
        <w:t>the amount of such Letter of Credit.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(3)If the Borrower so requests in any applicable Letter of Credit Application, the L/C Issuer may, in its sole discretion, agree to issue a Letter of Credit that has automatic extension provisions (each, an “</w:t>
      </w:r>
      <w:r>
        <w:rPr>
          <w:rFonts w:ascii="Times New Roman;sans-serif" w:hAnsi="Times New Roman;sans-serif"/>
          <w:b w:val="false"/>
          <w:color w:val="000000"/>
          <w:sz w:val="22"/>
          <w:u w:val="single"/>
        </w:rPr>
        <w:t>Auto-Extension Letter of Credit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any such Auto-Extension Letter of Credit must permit the L/C Issuer to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prevent any such extension at least once in each twelve-month period (commencing with the date of issuance of such Letter of Credit) by giving prior notice to the beneficiary thereof not later than a day (the “</w:t>
      </w:r>
      <w:r>
        <w:rPr>
          <w:rFonts w:ascii="Times New Roman;sans-serif" w:hAnsi="Times New Roman;sans-serif"/>
          <w:b w:val="false"/>
          <w:color w:val="000000"/>
          <w:sz w:val="22"/>
          <w:u w:val="single"/>
        </w:rPr>
        <w:t>Non-Extension Notice Date</w:t>
      </w:r>
      <w:r>
        <w:rPr>
          <w:color w:val="000000"/>
        </w:rPr>
        <w:t>”</w:t>
      </w:r>
      <w:r>
        <w:rPr>
          <w:rFonts w:ascii="Times New Roman;sans-serif" w:hAnsi="Times New Roman;sans-serif"/>
          <w:b w:val="false"/>
          <w:color w:val="000000"/>
          <w:sz w:val="22"/>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2.03(a)</w:t>
      </w:r>
      <w:r>
        <w:rPr>
          <w:color w:val="000000"/>
        </w:rPr>
        <w:t xml:space="preserve"> </w:t>
      </w:r>
      <w:r>
        <w:rPr>
          <w:rFonts w:ascii="Times New Roman;sans-serif" w:hAnsi="Times New Roman;sans-serif"/>
          <w:b w:val="false"/>
          <w:color w:val="000000"/>
          <w:sz w:val="22"/>
        </w:rPr>
        <w:t xml:space="preserve">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Lender or the Borrower that one or more of the applicable conditions specified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is not then satisfied, and in each case directing the L/C Issuer not to permit such extension.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Drawings and Reimbursements; Funding of Participations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(1)Upon receipt from the beneficiary of any Letter of Credit of any notice of drawing under such Letter of Credit, the L/C Issuer shall notify the Borrower and the Administrative Agent thereof. Not later than 11:00 a.m. on the date of any payment by the L/C Issuer under a Letter of Credit (each such date, an “</w:t>
      </w:r>
      <w:r>
        <w:rPr>
          <w:rFonts w:ascii="Times New Roman;sans-serif" w:hAnsi="Times New Roman;sans-serif"/>
          <w:b w:val="false"/>
          <w:color w:val="000000"/>
          <w:sz w:val="22"/>
          <w:u w:val="single"/>
        </w:rPr>
        <w:t>Honor Date</w:t>
      </w:r>
      <w:r>
        <w:rPr>
          <w:color w:val="000000"/>
        </w:rPr>
        <w:t>”</w:t>
      </w:r>
      <w:r>
        <w:rPr>
          <w:rFonts w:ascii="Times New Roman;sans-serif" w:hAnsi="Times New Roman;sans-serif"/>
          <w:b w:val="false"/>
          <w:color w:val="000000"/>
          <w:sz w:val="22"/>
        </w:rPr>
        <w:t>), the Borrower shall reimburse the L/C Issuer through the Administrative Agent in an amount equal to the amount of such drawing. If the Borrower fails to so reimburse the L/C Issuer by such time, the Administrative Agent shall promptly notify each Revolving Lender of the Honor Date, the amount of the unreimbursed drawing (the “</w:t>
      </w:r>
      <w:r>
        <w:rPr>
          <w:rFonts w:ascii="Times New Roman;sans-serif" w:hAnsi="Times New Roman;sans-serif"/>
          <w:b w:val="false"/>
          <w:color w:val="000000"/>
          <w:sz w:val="22"/>
          <w:u w:val="single"/>
        </w:rPr>
        <w:t>Unreimbursed Amount</w:t>
      </w:r>
      <w:r>
        <w:rPr>
          <w:color w:val="000000"/>
        </w:rPr>
        <w:t>”</w:t>
      </w:r>
      <w:r>
        <w:rPr>
          <w:rFonts w:ascii="Times New Roman;sans-serif" w:hAnsi="Times New Roman;sans-serif"/>
          <w:b w:val="false"/>
          <w:color w:val="000000"/>
          <w:sz w:val="22"/>
        </w:rPr>
        <w:t xml:space="preserve">), and the amount of such Revolving Lender’s Applicable Revolving Percentage thereof. In such event, the Borrower shall be deemed to have requested a Revolving Borrowing that are Base Rate Loans to be disbursed on the Honor Date in an amount equal to the Unreimbursed Amount, without regard to the minimum and multiples specified in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for the principal amount of Base Rate Loans, but subject to the conditions set forth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(other than the delivery of a Loan Notice) and provided that, after giving effect to such Revolving Borrowing, the Total Revolving Outstandings shall not exceed the Aggregate Revolving Commitments. Any notice given by the L/C Issuer or the Administrative Agent pursuant to this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may be given by telephone if immediately confirmed in writing;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lack of such an immediate confirmation shall not affect the conclusiveness or binding effect of such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(2)Each Revolving Lender shall upon any notice pursuant to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make funds available (and the Administrative Agent may apply Cash Collateral provided for this purpose) for the account of the L/C Issuer at the Administrative Agent’s Office in an amount equal to its Applicable Revolving Percentage of the Unreimbursed Amount not later than 1:00 p.m. on the Business Day specified in such notice by the Administrative Agent, whereupon, subject to the provisions of </w:t>
      </w:r>
      <w:r>
        <w:rPr>
          <w:rFonts w:ascii="Times New Roman;sans-serif" w:hAnsi="Times New Roman;sans-serif"/>
          <w:b w:val="false"/>
          <w:color w:val="000000"/>
          <w:sz w:val="22"/>
          <w:u w:val="single"/>
        </w:rPr>
        <w:t>Section 2.03(c)(iii)</w:t>
      </w:r>
      <w:r>
        <w:rPr>
          <w:rFonts w:ascii="Times New Roman;sans-serif" w:hAnsi="Times New Roman;sans-serif"/>
          <w:b w:val="false"/>
          <w:color w:val="000000"/>
          <w:sz w:val="22"/>
        </w:rPr>
        <w:t>, each Revolving Lender that so makes funds available shall be deemed to have made a Revolving Loan that is a Base Rate Loan to the Borrower in such amount. The Administrative Agent shall remit the funds so received to the L/C Issuer.</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(3)With respect to any Unreimbursed Amount that is not fully refinanced by a Revolving Borrowing that are Base Rate Loans because the conditions set forth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L/C Issuer pursuant to </w:t>
      </w:r>
      <w:r>
        <w:rPr>
          <w:rFonts w:ascii="Times New Roman;sans-serif" w:hAnsi="Times New Roman;sans-serif"/>
          <w:b w:val="false"/>
          <w:color w:val="000000"/>
          <w:sz w:val="22"/>
          <w:u w:val="single"/>
        </w:rPr>
        <w:t>Section 2.03(c)(ii)</w:t>
      </w:r>
      <w:r>
        <w:rPr>
          <w:color w:val="000000"/>
        </w:rPr>
        <w:t xml:space="preserve"> </w:t>
      </w:r>
      <w:r>
        <w:rPr>
          <w:rFonts w:ascii="Times New Roman;sans-serif" w:hAnsi="Times New Roman;sans-serif"/>
          <w:b w:val="false"/>
          <w:color w:val="000000"/>
          <w:sz w:val="22"/>
        </w:rPr>
        <w:t xml:space="preserve">shall be deemed payment in respect of its participation in such L/C Borrowing and shall constitute an L/C Advance from such Revolving Lender in satisfaction of its participation obligation under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(4)Until each Revolving Lender funds its Revolving Loan or L/C Advance pursuant to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to reimburse the L/C Issuer for any amount drawn under any Letter of Credit, interest in respect of such Revolving Lender’s Applicable Revolving Percentage of such amount shall be solely for the account of the L/C Issuer.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(5)Each Revolving Lender’s obligation to make Revolving Loans or L/C Advances to reimburse the L/C Issuer for amounts drawn under Letters of Credit, as contemplated by this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shall be absolute and unconditional and shall not be affected by any circumstance, including (A) any setoff, counterclaim, recoupment, defense or other right which such Revolving Lender may have against the L/C Issuer, the Borrower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each Revolving Lender’s obligation to make Revolving Loans pursuant to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(6)If any Revolving Lender fails to make available to the Administrative Agent for the account of the L/C Issuer any amount required to be paid by such Revolving Lender pursuant to the foregoing provisions of this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2.03(c)(ii)</w:t>
      </w:r>
      <w:r>
        <w:rPr>
          <w:rFonts w:ascii="Times New Roman;sans-serif" w:hAnsi="Times New Roman;sans-serif"/>
          <w:b w:val="false"/>
          <w:color w:val="000000"/>
          <w:sz w:val="22"/>
        </w:rPr>
        <w:t xml:space="preserve">, then, without limiting the other provisions of this Agreement, the L/C Issuer shall be entitled to recover from such Revolving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administrative, processing or similar fees customarily charged by the L/C Issuer in connection with the foregoing. If such Revolving Lender pays such amount (with interest and fees as aforesaid), the amount so paid shall constitute such Revolving Lender’s Revolving Loan included in the relevant Revolving Borrowing or L/C Advance in respect of the relevant L/C Borrowing, as the case may be. A certificate of the L/C Issuer submitted to any Revolving Lender (through the Administrative Agent) with respect to any amounts owing under this </w:t>
      </w:r>
      <w:r>
        <w:rPr>
          <w:rFonts w:ascii="Times New Roman;sans-serif" w:hAnsi="Times New Roman;sans-serif"/>
          <w:b w:val="false"/>
          <w:color w:val="000000"/>
          <w:sz w:val="22"/>
          <w:u w:val="single"/>
        </w:rPr>
        <w:t>clause (vi)</w:t>
      </w:r>
      <w:r>
        <w:rPr>
          <w:color w:val="000000"/>
        </w:rPr>
        <w:t xml:space="preserve"> </w:t>
      </w:r>
      <w:r>
        <w:rPr>
          <w:rFonts w:ascii="Times New Roman;sans-serif" w:hAnsi="Times New Roman;sans-serif"/>
          <w:b w:val="false"/>
          <w:color w:val="000000"/>
          <w:sz w:val="22"/>
        </w:rPr>
        <w:t>shall be conclusive absent manifest error.</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(1)At any time after the L/C Issuer has made a payment under any Letter of Credit and has received from any Revolving Lender such Revolving Lender’s L/C Advance in respect of such payment in accordance with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Revolving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Lender its Applicable Revolving Percentage thereof in the same funds as those received by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(2)If any payment received by the Administrative Agent for the account of the L/C Issuer pursuant to </w:t>
      </w:r>
      <w:r>
        <w:rPr>
          <w:rFonts w:ascii="Times New Roman;sans-serif" w:hAnsi="Times New Roman;sans-serif"/>
          <w:b w:val="false"/>
          <w:color w:val="000000"/>
          <w:sz w:val="22"/>
          <w:u w:val="single"/>
        </w:rPr>
        <w:t>Section 2.03(c)(i)</w:t>
      </w:r>
      <w:r>
        <w:rPr>
          <w:color w:val="000000"/>
        </w:rPr>
        <w:t xml:space="preserve"> </w:t>
      </w:r>
      <w:r>
        <w:rPr>
          <w:rFonts w:ascii="Times New Roman;sans-serif" w:hAnsi="Times New Roman;sans-serif"/>
          <w:b w:val="false"/>
          <w:color w:val="000000"/>
          <w:sz w:val="22"/>
        </w:rPr>
        <w:t xml:space="preserve">is required to be returned under any of the circumstances described in </w:t>
      </w:r>
      <w:r>
        <w:rPr>
          <w:rFonts w:ascii="Times New Roman;sans-serif" w:hAnsi="Times New Roman;sans-serif"/>
          <w:b w:val="false"/>
          <w:color w:val="000000"/>
          <w:sz w:val="22"/>
          <w:u w:val="single"/>
        </w:rPr>
        <w:t>Section 11.05</w:t>
      </w:r>
      <w:r>
        <w:rPr>
          <w:color w:val="000000"/>
        </w:rPr>
        <w:t xml:space="preserve"> </w:t>
      </w:r>
      <w:r>
        <w:rPr>
          <w:rFonts w:ascii="Times New Roman;sans-serif" w:hAnsi="Times New Roman;sans-serif"/>
          <w:b w:val="false"/>
          <w:color w:val="000000"/>
          <w:sz w:val="22"/>
        </w:rPr>
        <w:t xml:space="preserve">(including pursuant to any settlement entered into by the L/C Issuer in its discretion), each Revolving Lender shall pay to the Administrative Agent for the account of the L/C Issuer its Applicable Revolving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by such Revolving Lender, at a rate per annum equal to the Federal Funds Rate from time to time in effect. The obligations of the Revolving Lenders under this clause shall survive the payment in full of the Obligations and the termination of this Agreement.</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(1)any lack of validity or enforceability of such Letter of Credit, this Agreement or any other Loan Document;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(2)the existence of any claim, counterclaim, setoff, defense or other right that any Loan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(4)waiver by the L/C Issuer of any requirement that exists for the L/C Issuer’s protection and not the protection of the Borrower or any waiver by the L/C Issuer which does not in fact materially prejudice the Borrower;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(5)honor of a demand for payment presented electronically even if such Letter of Credit requires that demand be in the form of a draft;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(7)any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(8)any other circumstance or happening whatsoever, whether or not similar to any of the foregoing, including any other circumstance that might otherwise constitute a defense available to, or a discharge of, any Loan Party or any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Role of L/C Issuer</w:t>
      </w:r>
      <w:r>
        <w:rPr>
          <w:rFonts w:ascii="Times New Roman;sans-serif" w:hAnsi="Times New Roman;sans-serif"/>
          <w:b w:val="false"/>
          <w:color w:val="000000"/>
          <w:sz w:val="22"/>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the Required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this assumption is not intended to, and shall not, preclude the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(viii)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Applicability of ISP and UCP; Limitation of Liability</w:t>
      </w:r>
      <w:r>
        <w:rPr>
          <w:rFonts w:ascii="Times New Roman;sans-serif" w:hAnsi="Times New Roman;sans-serif"/>
          <w:b w:val="false"/>
          <w:color w:val="000000"/>
          <w:sz w:val="22"/>
        </w:rPr>
        <w:t>. Unless otherwise expressly agreed by the L/C Issuer and the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under any Law, order, or practice that is required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lineRule="auto" w:line="240" w:before="0" w:after="240"/>
        <w:ind w:left="0" w:right="0" w:firstLine="281"/>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Letter of Credit Fees</w:t>
      </w:r>
      <w:r>
        <w:rPr>
          <w:rFonts w:ascii="Times New Roman;sans-serif" w:hAnsi="Times New Roman;sans-serif"/>
          <w:b w:val="false"/>
          <w:color w:val="000000"/>
          <w:sz w:val="22"/>
        </w:rPr>
        <w:t xml:space="preserve">. The Borrower shall pay to the Administrative Agent for the account of each Revolving Lender in accordance, subject to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with its Applicable Revolving Percentage a Letter of Credit fee (the “</w:t>
      </w:r>
      <w:r>
        <w:rPr>
          <w:rFonts w:ascii="Times New Roman;sans-serif" w:hAnsi="Times New Roman;sans-serif"/>
          <w:b w:val="false"/>
          <w:color w:val="000000"/>
          <w:sz w:val="22"/>
          <w:u w:val="single"/>
        </w:rPr>
        <w:t>Letter of Credit Fee</w:t>
      </w:r>
      <w:r>
        <w:rPr>
          <w:color w:val="000000"/>
        </w:rPr>
        <w:t>”</w:t>
      </w:r>
      <w:r>
        <w:rPr>
          <w:rFonts w:ascii="Times New Roman;sans-serif" w:hAnsi="Times New Roman;sans-serif"/>
          <w:b w:val="false"/>
          <w:color w:val="000000"/>
          <w:sz w:val="22"/>
        </w:rPr>
        <w:t xml:space="preserve">) for each Letter of Credit equal to the Applicable Rate </w:t>
      </w:r>
      <w:r>
        <w:rPr>
          <w:rFonts w:ascii="Times New Roman;sans-serif" w:hAnsi="Times New Roman;sans-serif"/>
          <w:b w:val="false"/>
          <w:color w:val="000000"/>
          <w:sz w:val="22"/>
          <w:u w:val="single"/>
        </w:rPr>
        <w:t>times</w:t>
      </w:r>
      <w:r>
        <w:rPr>
          <w:color w:val="000000"/>
        </w:rPr>
        <w:t xml:space="preserve"> </w:t>
      </w:r>
      <w:r>
        <w:rPr>
          <w:rFonts w:ascii="Times New Roman;sans-serif" w:hAnsi="Times New Roman;sans-serif"/>
          <w:b w:val="false"/>
          <w:color w:val="000000"/>
          <w:sz w:val="22"/>
        </w:rPr>
        <w:t xml:space="preserve">the daily amount available to be drawn under such Letter of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Credit. For 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upon the request of the Required Revolving Lenders,</w:t>
      </w:r>
      <w:r>
        <w:rPr>
          <w:color w:val="000000"/>
        </w:rPr>
        <w:t xml:space="preserve"> </w:t>
      </w:r>
      <w:r>
        <w:rPr>
          <w:rFonts w:ascii="Times New Roman;sans-serif" w:hAnsi="Times New Roman;sans-serif"/>
          <w:b w:val="false"/>
          <w:color w:val="000000"/>
          <w:sz w:val="22"/>
        </w:rPr>
        <w:t>while any Event of Default exists, all Letter of Credit Fees shall accrue at the Default Rate.</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Fronting Fee and Documentary and Processing Charges Payable to L/C Issuer</w:t>
      </w:r>
      <w:r>
        <w:rPr>
          <w:rFonts w:ascii="Times New Roman;sans-serif" w:hAnsi="Times New Roman;sans-serif"/>
          <w:b w:val="false"/>
          <w:color w:val="000000"/>
          <w:sz w:val="22"/>
        </w:rPr>
        <w:t xml:space="preserve">. The Borrower shall pay directly to the L/C Issuer for its own account a fronting fee (i) with respect to each commercial Letter of Credit, at the rate specified in the Fee Letter, computed on the amount of such Letter of Credit, and payable upon the issuance thereof, (ii) with respect to any amendment of a commercial Letter of Credit increasing the amount of such Letter of Credit, at a rate separately agreed between the Borrower and the L/C Issuer, computed on the amount of such increase, and payable upon the effectiveness of such amendment, and (iii) with respect to each standby Letter of Credit, at the rate per annum specified in the Fee Letter, computed on the daily amount available to be drawn under such Letter of Credit and on a quarterly basis in arrears. Such fronting fee for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standby Letter of Credit, the amount of such Letter of Credit shall be determined in accordance with </w:t>
      </w:r>
      <w:r>
        <w:rPr>
          <w:rFonts w:ascii="Times New Roman;sans-serif" w:hAnsi="Times New Roman;sans-serif"/>
          <w:b w:val="false"/>
          <w:color w:val="000000"/>
          <w:sz w:val="22"/>
          <w:u w:val="single"/>
        </w:rPr>
        <w:t>Section 1.06</w:t>
      </w:r>
      <w:r>
        <w:rPr>
          <w:rFonts w:ascii="Times New Roman;sans-serif" w:hAnsi="Times New Roman;sans-serif"/>
          <w:b w:val="false"/>
          <w:color w:val="000000"/>
          <w:sz w:val="22"/>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Conflict with Issuer Documents</w:t>
      </w:r>
      <w:r>
        <w:rPr>
          <w:rFonts w:ascii="Times New Roman;sans-serif" w:hAnsi="Times New Roman;sans-serif"/>
          <w:b w:val="false"/>
          <w:color w:val="000000"/>
          <w:sz w:val="22"/>
        </w:rPr>
        <w:t>. In the event of any conflict between the terms hereof and the terms of any Issuer Document, the terms hereof shall control.</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Letters of Credit Issued for Subsidiaries</w:t>
      </w:r>
      <w:r>
        <w:rPr>
          <w:rFonts w:ascii="Times New Roman;sans-serif" w:hAnsi="Times New Roman;sans-serif"/>
          <w:b w:val="false"/>
          <w:color w:val="000000"/>
          <w:sz w:val="22"/>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pStyle w:val="TextBody"/>
        <w:bidi w:val="0"/>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u w:val="single"/>
        </w:rPr>
        <w:t>Swing Line Loans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Swing Line Facility</w:t>
      </w:r>
      <w:r>
        <w:rPr>
          <w:rFonts w:ascii="Times New Roman;sans-serif" w:hAnsi="Times New Roman;sans-serif"/>
          <w:b w:val="false"/>
          <w:color w:val="000000"/>
          <w:sz w:val="22"/>
        </w:rPr>
        <w:t xml:space="preserve">. Subject to the terms and conditions set forth herein, the Swing Line Lender, in reliance upon the agreements of the other Revolving Lenders set forth in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may in its sole discretion make loans (each such loan, a “</w:t>
      </w:r>
      <w:r>
        <w:rPr>
          <w:rFonts w:ascii="Times New Roman;sans-serif" w:hAnsi="Times New Roman;sans-serif"/>
          <w:b w:val="false"/>
          <w:color w:val="000000"/>
          <w:sz w:val="22"/>
          <w:u w:val="single"/>
        </w:rPr>
        <w:t>Swing Line Loan</w:t>
      </w:r>
      <w:r>
        <w:rPr>
          <w:color w:val="000000"/>
        </w:rPr>
        <w:t>”</w:t>
      </w:r>
      <w:r>
        <w:rPr>
          <w:rFonts w:ascii="Times New Roman;sans-serif" w:hAnsi="Times New Roman;sans-serif"/>
          <w:b w:val="false"/>
          <w:color w:val="000000"/>
          <w:sz w:val="22"/>
        </w:rPr>
        <w:t xml:space="preserve">) to the Borrower in Dollars from time to time on any Business Day during the Availability Period in an aggregate amount not to exceed at any time outstanding the amount of the Swing Line Sublimit, notwithstanding the fact that such Swing Line Loans, when aggregated with the Applicable Revolving Percentage of the Outstanding Amount of Revolving Loans and L/C Obligations of the Lender acting as Swing Line Lender, may exceed the amount of such Lender’s Revolving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after giving effect to any Swing Line Loan, (A) the Total Revolving Outstandings shall not exceed the Aggregate Revolving Commitments and (B) the Revolving Credit Exposure of any Revolving Lender shall not exceed such Revolving Lender’s Revolving Commitment, (ii) the Borrower shall not use the proceeds of any Swing Line Loan to refinance any outstanding Swing Line Loan and (iii) the Swing Line Lender shall not be under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Swing Line Loans under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xml:space="preserve">, prepay Swing Line Loans under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and reborrow Swing Line Loans under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xml:space="preserve">. Each Swing Line Loan shall bear interest at a rate based on the SOFR Daily Floating Rate or, at the option of the Borrower, the Base Rate. Immediately upon the making of a Swing Line Loan, each Revolving Lender shall be deemed to, and hereby irrevocably and unconditionally agrees to, purchase from the Swing Line Lender a risk participation in such Swing Line Loan in an amount equal to the product of such Revolving Lender’s Applicable Revolving Percentage </w:t>
      </w:r>
      <w:r>
        <w:rPr>
          <w:rFonts w:ascii="Times New Roman;sans-serif" w:hAnsi="Times New Roman;sans-serif"/>
          <w:b w:val="false"/>
          <w:color w:val="000000"/>
          <w:sz w:val="22"/>
          <w:u w:val="single"/>
        </w:rPr>
        <w:t>times</w:t>
      </w:r>
      <w:r>
        <w:rPr>
          <w:color w:val="000000"/>
        </w:rPr>
        <w:t xml:space="preserve"> </w:t>
      </w:r>
      <w:r>
        <w:rPr>
          <w:rFonts w:ascii="Times New Roman;sans-serif" w:hAnsi="Times New Roman;sans-serif"/>
          <w:b w:val="false"/>
          <w:color w:val="000000"/>
          <w:sz w:val="22"/>
        </w:rPr>
        <w:t>the amount of such Swing Line Loan.</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Borrowing Procedures</w:t>
      </w:r>
      <w:r>
        <w:rPr>
          <w:rFonts w:ascii="Times New Roman;sans-serif" w:hAnsi="Times New Roman;sans-serif"/>
          <w:b w:val="false"/>
          <w:color w:val="000000"/>
          <w:sz w:val="22"/>
        </w:rPr>
        <w:t xml:space="preserve">. Each Borrowing of Swing Line Loans shall be made upon the Borrower’s irrevocable notice to the Swing Line Lender and the Administrative Agent, which may be given by telephone or a Swing Line Loan Notice;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any telephonic notice must be confirmed immediately by delivery to the Swing Line Lender and the Administrative Agent of a Swing Line Loan Notice. Each such Swing Line Loan Notice must be received by the Swing Line Lender and the Administrative Agent not later than 3:00 p.m. on the requested borrowing date, and shall specify (i) the amount to be borrowed, which shall be a minimum principal amount of $100,000 and integral multiples of $100,000 in excess thereof, (ii) the requested borrowing date, which shall be a Business Day, and (iii) the Type of Swing Line Loans to be borrowed.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3:30 p.m. on the date of the proposed Borrowing of Swing Line Loans (A) directing the Swing Line Lender not to make such Swing Line Loan as a result of the limitations set forth in the proviso to the first sentence of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 xml:space="preserve">, or (B) that one or more of the applicable conditions specified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is not then satisfied, then, subject to the terms and conditions hereof, the Swing Line Lender will, not later than 4:00 p.m. on the borrowing date specified in such Swing Line Loan Notice, make the amount of its Swing Line Loan available to the Borrower.</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Refinancing of Swing Line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(1)The Swing Line Lender at any time in its sole and absolute discretion may request, on behalf of the Borrower (which hereby irrevocably authorizes the Swing Line Lender to so request on its behalf), that each Revolving Lender make a Revolving Loan that is a Base Rate Loan in an amount equal to such Revolving Lender’s Applicable Revolving Percentage of the amount of Swing Line Loans then outstanding. Such request shall be made in writing (which written request shall be deemed to be a Loan Notice for purposes hereof) and in accordance with the requirements of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without regard to the minimum and multiples specified therein for the principal amount of Base Rate Loans, but subject to the conditions set forth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(other than the delivery of a Loan Notice);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after giving effect to such Revolving Borrowing, the Total Revolving Outstandings shall not exceed the Aggregate Revolving Commitments. The Swing Line Lender shall furnish the Borrower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Loan Notice, whereupon, subject to </w:t>
      </w:r>
      <w:r>
        <w:rPr>
          <w:rFonts w:ascii="Times New Roman;sans-serif" w:hAnsi="Times New Roman;sans-serif"/>
          <w:b w:val="false"/>
          <w:color w:val="000000"/>
          <w:sz w:val="22"/>
          <w:u w:val="single"/>
        </w:rPr>
        <w:t>Section 2.04(c)(ii)</w:t>
      </w:r>
      <w:r>
        <w:rPr>
          <w:rFonts w:ascii="Times New Roman;sans-serif" w:hAnsi="Times New Roman;sans-serif"/>
          <w:b w:val="false"/>
          <w:color w:val="000000"/>
          <w:sz w:val="22"/>
        </w:rPr>
        <w:t>, each Revolving Lender that so makes funds available shall be deemed to have made a Revolving Loan that is a Base Rate Loan to the Borrower in such amount. The Administrative Agent shall remit the funds so received to the Swing Line Lender.</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(2)If for any reason any Swing Line Loan cannot be refinanced by such a Revolving Borrowing in accordance with </w:t>
      </w:r>
      <w:r>
        <w:rPr>
          <w:rFonts w:ascii="Times New Roman;sans-serif" w:hAnsi="Times New Roman;sans-serif"/>
          <w:b w:val="false"/>
          <w:color w:val="000000"/>
          <w:sz w:val="22"/>
          <w:u w:val="single"/>
        </w:rPr>
        <w:t>Section 2.04(c)(i)</w:t>
      </w:r>
      <w:r>
        <w:rPr>
          <w:rFonts w:ascii="Times New Roman;sans-serif" w:hAnsi="Times New Roman;sans-serif"/>
          <w:b w:val="false"/>
          <w:color w:val="000000"/>
          <w:sz w:val="22"/>
        </w:rPr>
        <w:t xml:space="preserve">, the request for Revolving Loans that are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Times New Roman;sans-serif" w:hAnsi="Times New Roman;sans-serif"/>
          <w:b w:val="false"/>
          <w:color w:val="000000"/>
          <w:sz w:val="22"/>
          <w:u w:val="single"/>
        </w:rPr>
        <w:t>Section 2.04(c)(i)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(3)If any Revolving Lender fails to make available to the Administrative Agent for the account of the Swing Line Lender any amount required to be paid by such Revolving Lender pursuant to the foregoing provisions of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2.04(c)(i)</w:t>
      </w:r>
      <w:r>
        <w:rPr>
          <w:rFonts w:ascii="Times New Roman;sans-serif" w:hAnsi="Times New Roman;sans-serif"/>
          <w:b w:val="false"/>
          <w:color w:val="000000"/>
          <w:sz w:val="22"/>
        </w:rPr>
        <w:t xml:space="preserve">, the Swing Line Lender shall be entitled to recover from such Revolving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administrative, processing or similar fees customarily charged by the Swing Line Lender in connection with the foregoing. If such Revolving Lender pays such amount (with interest and fees as aforesaid), the amount so paid shall constitute such Revolving Lender’s Revolving Loan included in the relevant Revolving Borrowing or funded participation in the relevant Swing Line Loan, as the case may be. A certificate of the Swing Line Lender submitted to any Revolving Lender (through the Administrative Agent) with respect to any amounts owing under this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shall be conclusive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(4)Each Revolving Lender’s obligation to make Revolving Loans or to purchase and fund risk participations in Swing Line Loans pursuant to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that such Revolving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each Revolving Lender’s obligation to make Revolving Loans pursuant to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5.02</w:t>
      </w:r>
      <w:r>
        <w:rPr>
          <w:rFonts w:ascii="Times New Roman;sans-serif" w:hAnsi="Times New Roman;sans-serif"/>
          <w:b w:val="false"/>
          <w:color w:val="000000"/>
          <w:sz w:val="22"/>
        </w:rPr>
        <w:t>. No such funding of risk participations shall relieve or otherwise impair the obligation of the Borrower to repay Swing Line Loans, together with interest as provided herein.</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(1)At any time after any Revolving Lender has purchased and funded a risk participation in a Swing Line Loan, if the Swing Line Lender receives any payment on account of such Swing Line Loan, the Swing Line Lender will distribute to such Revolving Lender its Applicable Revolving Percentage thereof in the same funds as those received by the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(2)If any payment received by the Swing Line Lender in respect of principal or interest on any Swing Line Loan is required to be returned by the Swing Line Lender under any of the circumstances described in </w:t>
      </w:r>
      <w:r>
        <w:rPr>
          <w:rFonts w:ascii="Times New Roman;sans-serif" w:hAnsi="Times New Roman;sans-serif"/>
          <w:b w:val="false"/>
          <w:color w:val="000000"/>
          <w:sz w:val="22"/>
          <w:u w:val="single"/>
        </w:rPr>
        <w:t>Section 11.05</w:t>
      </w:r>
      <w:r>
        <w:rPr>
          <w:color w:val="000000"/>
        </w:rPr>
        <w:t xml:space="preserve"> </w:t>
      </w:r>
      <w:r>
        <w:rPr>
          <w:rFonts w:ascii="Times New Roman;sans-serif" w:hAnsi="Times New Roman;sans-serif"/>
          <w:b w:val="false"/>
          <w:color w:val="000000"/>
          <w:sz w:val="22"/>
        </w:rPr>
        <w:t xml:space="preserve">(including pursuant to any settlement entered into by the Swing Line Lender in its discretion), each Revolving Lender shall pay to the Swing Line Lender its Applicable Revolving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at a rate per annum equal to the Federal Funds Rate. The Administrative Agent will make such demand upon the request of the Swing Line Lender. The obligations of the Revolving Lenders under this clause shall survive the payment in full of the Obligations and the termination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Interest for Account of Swing Line Lender</w:t>
      </w:r>
      <w:r>
        <w:rPr>
          <w:rFonts w:ascii="Times New Roman;sans-serif" w:hAnsi="Times New Roman;sans-serif"/>
          <w:b w:val="false"/>
          <w:color w:val="000000"/>
          <w:sz w:val="22"/>
        </w:rPr>
        <w:t xml:space="preserve">. The Swing Line Lender shall be responsible for invoicing the Borrower for interest on the Swing Line Loans. Until each Revolving Lender funds its Revolving Loans that are Base Rate Loans or risk participation pursuant to this </w:t>
      </w:r>
      <w:r>
        <w:rPr>
          <w:rFonts w:ascii="Times New Roman;sans-serif" w:hAnsi="Times New Roman;sans-serif"/>
          <w:b w:val="false"/>
          <w:color w:val="000000"/>
          <w:sz w:val="22"/>
          <w:u w:val="single"/>
        </w:rPr>
        <w:t>Section 2.04</w:t>
      </w:r>
      <w:r>
        <w:rPr>
          <w:color w:val="000000"/>
        </w:rPr>
        <w:t xml:space="preserve"> </w:t>
      </w:r>
      <w:r>
        <w:rPr>
          <w:rFonts w:ascii="Times New Roman;sans-serif" w:hAnsi="Times New Roman;sans-serif"/>
          <w:b w:val="false"/>
          <w:color w:val="000000"/>
          <w:sz w:val="22"/>
        </w:rPr>
        <w:t>to refinance such Revolving Lender’s Applicable Revolving Percentage of any Swing Line Loan, interest in respect of such Applicable Revolving Percentage shall be solely for the account of the Swing Line Lender.</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Payments Directly to Swing Line Lender</w:t>
      </w:r>
      <w:r>
        <w:rPr>
          <w:rFonts w:ascii="Times New Roman;sans-serif" w:hAnsi="Times New Roman;sans-serif"/>
          <w:b w:val="false"/>
          <w:color w:val="000000"/>
          <w:sz w:val="22"/>
        </w:rPr>
        <w:t>. The Borrower shall make all payments of principal and interest in respect of the Swing Line Loans directly to the Swing Line Lender.</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u w:val="single"/>
        </w:rPr>
        <w:t>Prepayments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Voluntary Prepayments of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Revolving Loans and Incremental Term Loans</w:t>
      </w:r>
      <w:r>
        <w:rPr>
          <w:rFonts w:ascii="Times New Roman;sans-serif" w:hAnsi="Times New Roman;sans-serif"/>
          <w:b w:val="false"/>
          <w:color w:val="000000"/>
          <w:sz w:val="22"/>
        </w:rPr>
        <w:t xml:space="preserve">. The Borrower may, upon delivery of a Notice of Loan Prepayment to the Administrative Agent, at any time or from time to time voluntarily prepay Revolving Loans and/or Incremental Term Loans in whole or in part without premium or penalty;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 such notice must be received by the Administrative Agent not later than 11:00 a.m. (1) two (2) Business Days prior to any date of prepayment of Term SOFR Loans and (2) on the date of prepayment of Base Rate Loans, (B) any such prepayment of Term SOFR Loans shall be in a principal amount of $5,000,000 or a whole multiple of $1,000,000 in excess thereof (or, if less, the entire principal amount thereof then outstanding), and (C) any prepayment of Base Rate Loans shall be in a principal amount of $1,000,000 or a whole multiple of $500,000 in excess thereof (or, if less, the entire principal amount thereof then outstanding). Each such notice shall specify the date and amount of such prepayment and the Class(es) and Type(s) of Loans to be prepaid and, if Term SOFR Loans are to be prepaid, the Interest Period(s) of such Loans. The Administrative Agent will promptly notify each Appropriate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any notice of prepayment of Loans may be conditioned upon the effectiveness of other credit facilities or capital raising, the consummation of a particular Disposition or the occurrence of a change of control as specified in such notice, in which case such notice may be revoked by the Borrower (by notice to the Administrative Agent on or prior to the specified prepayment date) if such condition is not satisfied. Any prepayment of a Term SOFR Loan shall be accompanied by all accrued interest on the amount prepaid, together with any additional amounts required pursuant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Each prepayment of Incremental Term Loans pursuant to this </w:t>
      </w:r>
      <w:r>
        <w:rPr>
          <w:rFonts w:ascii="Times New Roman;sans-serif" w:hAnsi="Times New Roman;sans-serif"/>
          <w:b w:val="false"/>
          <w:color w:val="000000"/>
          <w:sz w:val="22"/>
          <w:u w:val="single"/>
        </w:rPr>
        <w:t>Section 2.05(a)(i)</w:t>
      </w:r>
      <w:r>
        <w:rPr>
          <w:color w:val="000000"/>
        </w:rPr>
        <w:t xml:space="preserve"> </w:t>
      </w:r>
      <w:r>
        <w:rPr>
          <w:rFonts w:ascii="Times New Roman;sans-serif" w:hAnsi="Times New Roman;sans-serif"/>
          <w:b w:val="false"/>
          <w:color w:val="000000"/>
          <w:sz w:val="22"/>
        </w:rPr>
        <w:t xml:space="preserve">shall be applied to any then-existing Classes of Incremental Term Loans on a pro rata basis (unless the Lenders for any Class of Incremental Term Loans have agreed to less than pro rata treatment for voluntary prepayments). Subject to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each such prepayment shall be applied to the Loans of the Lenders in accordance with their respective Applicable Percentages in respect of each of the relevant Facilities.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Swing Line Loans</w:t>
      </w:r>
      <w:r>
        <w:rPr>
          <w:rFonts w:ascii="Times New Roman;sans-serif" w:hAnsi="Times New Roman;sans-serif"/>
          <w:b w:val="false"/>
          <w:color w:val="000000"/>
          <w:sz w:val="22"/>
        </w:rPr>
        <w:t xml:space="preserve">. The Borrower may, upon delivery of a Notice of Loan Prepayment to the Swing Line Lender (with a copy to the Administrative Agent), at any time or from time to time, voluntarily prepay Swing Line Loans in whole or in part without premium or penalty (but subject to payment of any additional amounts required pursuant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such notice must be received by the Swing Line Lender and the Administrative Agent not later than 1:00 p.m.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and the Type(s) of Swing Line Loans to be prepaid. If such notice is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given by the Borrower, the Borrower shall make such prepayment and the payment amount specified in such notice shall be due and payable on the date specified therein.</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Mandatory Prepayments of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Revolving Commitments</w:t>
      </w:r>
      <w:r>
        <w:rPr>
          <w:rFonts w:ascii="Times New Roman;sans-serif" w:hAnsi="Times New Roman;sans-serif"/>
          <w:b w:val="false"/>
          <w:color w:val="000000"/>
          <w:sz w:val="22"/>
        </w:rPr>
        <w:t xml:space="preserve">. If for any reason the Total Revolving Outstandings at any time exceed the Aggregate Revolving Commitments then in effect, the Borrower shall immediately prepay Revolving Loans and/or Swing Line Loans and/or Cash Collateralize the L/C Obligations in an aggregate amount equal to such excess;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Borrower shall not be required to Cash Collateralize the L/C Obligations pursuant to this </w:t>
      </w:r>
      <w:r>
        <w:rPr>
          <w:rFonts w:ascii="Times New Roman;sans-serif" w:hAnsi="Times New Roman;sans-serif"/>
          <w:b w:val="false"/>
          <w:color w:val="000000"/>
          <w:sz w:val="22"/>
          <w:u w:val="single"/>
        </w:rPr>
        <w:t>Section 2.05(b)(i)</w:t>
      </w:r>
      <w:r>
        <w:rPr>
          <w:color w:val="000000"/>
        </w:rPr>
        <w:t xml:space="preserve"> </w:t>
      </w:r>
      <w:r>
        <w:rPr>
          <w:rFonts w:ascii="Times New Roman;sans-serif" w:hAnsi="Times New Roman;sans-serif"/>
          <w:b w:val="false"/>
          <w:color w:val="000000"/>
          <w:sz w:val="22"/>
        </w:rPr>
        <w:t>unless after the prepayment in full of the Revolving Loans and Swing Line Loans the Total Revolving Outstandings exceed the Aggregate Revolving Commitments then in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Application of Mandatory Prepayments</w:t>
      </w:r>
      <w:r>
        <w:rPr>
          <w:rFonts w:ascii="Times New Roman;sans-serif" w:hAnsi="Times New Roman;sans-serif"/>
          <w:b w:val="false"/>
          <w:color w:val="000000"/>
          <w:sz w:val="22"/>
        </w:rPr>
        <w:t xml:space="preserve">. All amounts required to be paid pursuant to </w:t>
      </w:r>
      <w:r>
        <w:rPr>
          <w:rFonts w:ascii="Times New Roman;sans-serif" w:hAnsi="Times New Roman;sans-serif"/>
          <w:b w:val="false"/>
          <w:color w:val="000000"/>
          <w:sz w:val="22"/>
          <w:u w:val="single"/>
        </w:rPr>
        <w:t>Section 2.05(b)(i)</w:t>
      </w:r>
      <w:r>
        <w:rPr>
          <w:color w:val="000000"/>
        </w:rPr>
        <w:t xml:space="preserve"> </w:t>
      </w:r>
      <w:r>
        <w:rPr>
          <w:rFonts w:ascii="Times New Roman;sans-serif" w:hAnsi="Times New Roman;sans-serif"/>
          <w:b w:val="false"/>
          <w:color w:val="000000"/>
          <w:sz w:val="22"/>
        </w:rPr>
        <w:t xml:space="preserve">shall be applied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ratably to the L/C Borrowings and the Swing Line Loans,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the outstanding Revolving Loans, and,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to Cash Collateralize the remaining L/C Obligations. Within the parameters of the applications set forth above, prepayments shall be applied first to Base Rate Loans and SOFR Daily Floating Rate Swing Line Loans, on a pro rata</w:t>
      </w:r>
      <w:r>
        <w:rPr>
          <w:color w:val="000000"/>
        </w:rPr>
        <w:t xml:space="preserve"> </w:t>
      </w:r>
      <w:r>
        <w:rPr>
          <w:rFonts w:ascii="Times New Roman;sans-serif" w:hAnsi="Times New Roman;sans-serif"/>
          <w:b w:val="false"/>
          <w:color w:val="000000"/>
          <w:sz w:val="22"/>
        </w:rPr>
        <w:t xml:space="preserve">basis, and then to Term SOFR Loans in direct order of Interest Period maturities. All prepayments under this </w:t>
      </w:r>
      <w:r>
        <w:rPr>
          <w:rFonts w:ascii="Times New Roman;sans-serif" w:hAnsi="Times New Roman;sans-serif"/>
          <w:b w:val="false"/>
          <w:color w:val="000000"/>
          <w:sz w:val="22"/>
          <w:u w:val="single"/>
        </w:rPr>
        <w:t>Section 2.05(b)</w:t>
      </w:r>
      <w:r>
        <w:rPr>
          <w:color w:val="000000"/>
        </w:rPr>
        <w:t xml:space="preserve"> </w:t>
      </w:r>
      <w:r>
        <w:rPr>
          <w:rFonts w:ascii="Times New Roman;sans-serif" w:hAnsi="Times New Roman;sans-serif"/>
          <w:b w:val="false"/>
          <w:color w:val="000000"/>
          <w:sz w:val="22"/>
        </w:rPr>
        <w:t xml:space="preserve">shall be subject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but otherwise without premium or penalty, and shall be accompanied by interest on the principal amount prepaid through the date of prepayment.</w: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u w:val="single"/>
        </w:rPr>
        <w:t>Termination or Reduction of Commitments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Optional</w:t>
      </w:r>
      <w:r>
        <w:rPr>
          <w:rFonts w:ascii="Times New Roman;sans-serif" w:hAnsi="Times New Roman;sans-serif"/>
          <w:b w:val="false"/>
          <w:color w:val="000000"/>
          <w:sz w:val="22"/>
        </w:rPr>
        <w:t xml:space="preserve">. The Borrower may, upon notice to the Administrative Agent, terminate the Aggregate Revolving Commitments, or from time to time permanently reduce the Aggregate Revolving Commitments to an amount not less than the Total Revolving Outstandings;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any such notice shall be received by the Administrative Agent not later than 12:00 noon five Business Days prior to the date of termination or reduction, (ii) any such partial reduction shall be in an aggregate amount of $5,000,000 or any whole multiple of $1,000,000 in excess thereof, and (iii) the Borrower shall not terminate or reduce the Aggregate Revolving Commitments if, after giving effect thereto and to any concurrent prepayments hereunder, the Total Revolving Outstandings would exceed the Aggregate Revolving Commitments;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any notice delivered pursuant to this </w:t>
      </w:r>
      <w:r>
        <w:rPr>
          <w:rFonts w:ascii="Times New Roman;sans-serif" w:hAnsi="Times New Roman;sans-serif"/>
          <w:b w:val="false"/>
          <w:color w:val="000000"/>
          <w:sz w:val="22"/>
          <w:u w:val="single"/>
        </w:rPr>
        <w:t>Section 2.06(a)</w:t>
      </w:r>
      <w:r>
        <w:rPr>
          <w:color w:val="000000"/>
        </w:rPr>
        <w:t xml:space="preserve"> </w:t>
      </w:r>
      <w:r>
        <w:rPr>
          <w:rFonts w:ascii="Times New Roman;sans-serif" w:hAnsi="Times New Roman;sans-serif"/>
          <w:b w:val="false"/>
          <w:color w:val="000000"/>
          <w:sz w:val="22"/>
        </w:rPr>
        <w:t>may be conditioned upon the effectiveness of other credit facilities or capital raising, the consummation of a particular Disposition or the occurrence of a change of control as specified in such notice, in which case such notice may be revoked by the Borrower (by notice to the Administrative Agent on or prior to the specified termination or reduction date) if such condition is not satisfied.</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Application of Commitment Reductions; Payment of Fees</w:t>
      </w:r>
      <w:r>
        <w:rPr>
          <w:rFonts w:ascii="Times New Roman;sans-serif" w:hAnsi="Times New Roman;sans-serif"/>
          <w:b w:val="false"/>
          <w:color w:val="000000"/>
          <w:sz w:val="22"/>
        </w:rPr>
        <w:t>. The Administrative Agent will promptly notify the Revolving Lenders of any such notice of termination or reduction of the Aggregate Revolving Commitments. Any reduction of the Aggregate Revolving Commitments shall be applied to the Revolving Commitment of each Revolving Lender according to its Applicable Revolving Percentage. All fees accrued with respect thereto until the effective date of any termination of the Aggregate Revolving Commitments shall be paid on the effective date of such termination.</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Mandatory</w:t>
      </w:r>
      <w:r>
        <w:rPr>
          <w:rFonts w:ascii="Times New Roman;sans-serif" w:hAnsi="Times New Roman;sans-serif"/>
          <w:b w:val="false"/>
          <w:color w:val="000000"/>
          <w:sz w:val="22"/>
        </w:rPr>
        <w:t xml:space="preserve">. If, after giving effect to any reduction of the Aggregate Revolving Commitments, the Letter of Credit Sublimit or the Swing Line Sublimit exceeds the amount of the Aggregate Revolving Commitments, such sublimit shall be automatically reduced by the amount of such excess. </w:t>
      </w:r>
    </w:p>
    <w:p>
      <w:pPr>
        <w:pStyle w:val="TextBody"/>
        <w:bidi w:val="0"/>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u w:val="single"/>
        </w:rPr>
        <w:t>Repayment of Loans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Revolving Loans</w:t>
      </w:r>
      <w:r>
        <w:rPr>
          <w:rFonts w:ascii="Times New Roman;sans-serif" w:hAnsi="Times New Roman;sans-serif"/>
          <w:b w:val="false"/>
          <w:color w:val="000000"/>
          <w:sz w:val="22"/>
        </w:rPr>
        <w:t>. The Borrower shall repay to the Revolving Lenders on the Revolving Maturity Date the aggregate principal amount of all Revolving Loans outstanding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Swing Line Loans</w:t>
      </w:r>
      <w:r>
        <w:rPr>
          <w:rFonts w:ascii="Times New Roman;sans-serif" w:hAnsi="Times New Roman;sans-serif"/>
          <w:b w:val="false"/>
          <w:color w:val="000000"/>
          <w:sz w:val="22"/>
        </w:rPr>
        <w:t>. The Borrower shall repay each Swing Line Loan upon the earlier of (i) one Business Day after demand and (ii) on the Revolving Maturity Date.</w:t>
      </w:r>
    </w:p>
    <w:p>
      <w:pPr>
        <w:pStyle w:val="TextBody"/>
        <w:bidi w:val="0"/>
        <w:spacing w:lineRule="auto" w:line="240" w:before="24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u w:val="single"/>
        </w:rPr>
        <w:t>Interest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(i)Subject to the provisions of </w:t>
      </w:r>
      <w:r>
        <w:rPr>
          <w:rFonts w:ascii="Times New Roman;sans-serif" w:hAnsi="Times New Roman;sans-serif"/>
          <w:b w:val="false"/>
          <w:color w:val="000000"/>
          <w:sz w:val="22"/>
          <w:u w:val="single"/>
        </w:rPr>
        <w:t>Section 2.08(b)</w:t>
      </w:r>
      <w:r>
        <w:rPr>
          <w:rFonts w:ascii="Times New Roman;sans-serif" w:hAnsi="Times New Roman;sans-serif"/>
          <w:b w:val="false"/>
          <w:color w:val="000000"/>
          <w:sz w:val="22"/>
        </w:rPr>
        <w:t xml:space="preserve">: (i) each Term SOFR Loan shall bear interest on the outstanding principal amount thereof for each Interest Period at a rate per annum equal to the sum of the Term SOFR for such Interest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(ii) each Base Rate Loan shall bear interest on the outstanding principal amount thereof from the applicable borrowing date at a rate per annum equal to the sum of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and (iii) each Swing Line Loan shall bear interest on the outstanding principal amount thereof from the applicable borrowing date at a rate per annum equal to the sum of the SOFR Daily Floating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or, at the option of the Borrower, the sum of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Rate.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lineRule="auto" w:line="240" w:before="0" w:after="240"/>
        <w:ind w:left="0" w:right="0" w:hanging="268"/>
        <w:jc w:val="both"/>
        <w:rPr>
          <w:rFonts w:ascii="Times New Roman;sans-serif" w:hAnsi="Times New Roman;sans-serif"/>
          <w:b w:val="false"/>
          <w:color w:val="000000"/>
          <w:sz w:val="22"/>
        </w:rPr>
      </w:pPr>
      <w:r>
        <w:rPr>
          <w:rFonts w:ascii="Times New Roman;sans-serif" w:hAnsi="Times New Roman;sans-serif"/>
          <w:b w:val="false"/>
          <w:color w:val="000000"/>
          <w:sz w:val="22"/>
        </w:rPr>
        <w:t>(ii)(i)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Accrued and unpaid interest on past due amounts (including interest on past due interest) shall be due and payable upon demand.</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lineRule="auto" w:line="240" w:before="0" w:after="240"/>
        <w:ind w:left="0" w:right="0" w:firstLine="720"/>
        <w:jc w:val="both"/>
        <w:rPr/>
      </w:pPr>
      <w:r>
        <w:rPr>
          <w:rFonts w:ascii="Times New Roman;sans-serif" w:hAnsi="Times New Roman;sans-serif"/>
          <w:b/>
          <w:color w:val="000000"/>
          <w:sz w:val="22"/>
        </w:rPr>
        <w:t>1.09</w:t>
      </w:r>
      <w:r>
        <w:rPr>
          <w:rFonts w:ascii="Times New Roman;sans-serif" w:hAnsi="Times New Roman;sans-serif"/>
          <w:b/>
          <w:color w:val="000000"/>
          <w:sz w:val="22"/>
          <w:u w:val="single"/>
        </w:rPr>
        <w:t>Fees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In addition to certain fees described in </w:t>
      </w:r>
      <w:r>
        <w:rPr>
          <w:rFonts w:ascii="Times New Roman;sans-serif" w:hAnsi="Times New Roman;sans-serif"/>
          <w:b w:val="false"/>
          <w:color w:val="000000"/>
          <w:sz w:val="22"/>
          <w:u w:val="single"/>
        </w:rPr>
        <w:t>Sections 2.03(h)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Commitment Fee</w:t>
      </w:r>
      <w:r>
        <w:rPr>
          <w:rFonts w:ascii="Times New Roman;sans-serif" w:hAnsi="Times New Roman;sans-serif"/>
          <w:b w:val="false"/>
          <w:color w:val="000000"/>
          <w:sz w:val="22"/>
        </w:rPr>
        <w:t>. The Borrower shall pay to the Administrative Agent, for the account of each Revolving Lender in accordance with its Applicable Revolving Percentage, a commitment fee (each, a “</w:t>
      </w:r>
      <w:r>
        <w:rPr>
          <w:rFonts w:ascii="Times New Roman;sans-serif" w:hAnsi="Times New Roman;sans-serif"/>
          <w:b w:val="false"/>
          <w:color w:val="000000"/>
          <w:sz w:val="22"/>
          <w:u w:val="single"/>
        </w:rPr>
        <w:t>Commitment Fee</w:t>
      </w:r>
      <w:r>
        <w:rPr>
          <w:color w:val="000000"/>
        </w:rPr>
        <w:t>”</w:t>
      </w:r>
      <w:r>
        <w:rPr>
          <w:rFonts w:ascii="Times New Roman;sans-serif" w:hAnsi="Times New Roman;sans-serif"/>
          <w:b w:val="false"/>
          <w:color w:val="000000"/>
          <w:sz w:val="22"/>
        </w:rPr>
        <w:t xml:space="preserve">) equal to the product of (i) the Applicable Rate (under the column entitled Commitment Fee in the definition of “Applicable Rate”) </w:t>
      </w:r>
      <w:r>
        <w:rPr>
          <w:rFonts w:ascii="Times New Roman;sans-serif" w:hAnsi="Times New Roman;sans-serif"/>
          <w:b w:val="false"/>
          <w:color w:val="000000"/>
          <w:sz w:val="22"/>
          <w:u w:val="single"/>
        </w:rPr>
        <w:t>times</w:t>
      </w:r>
      <w:r>
        <w:rPr>
          <w:color w:val="000000"/>
        </w:rPr>
        <w:t xml:space="preserve"> </w:t>
      </w:r>
      <w:r>
        <w:rPr>
          <w:rFonts w:ascii="Times New Roman;sans-serif" w:hAnsi="Times New Roman;sans-serif"/>
          <w:b w:val="false"/>
          <w:color w:val="000000"/>
          <w:sz w:val="22"/>
        </w:rPr>
        <w:t xml:space="preserve">(ii) the actual daily amount by which the Aggregate Revolving Commitments exceed the sum of (y) the Outstanding Amount of Revolving Loans and (z) the Outstanding Amount of L/C Obligations, subject to adjustment as provided in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 xml:space="preserve">. The Commitment Fees shall accrue at all times during the Availability Period, including at any time during which one or more of the conditions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is not met, and shall be due and payable quarterly in arrears on the last Business Day of each March, June, September and December, commencing with the first such date to occur after the Closing Date, and on the last day of the Availability Period. The Commitment Fees shall be calculated quarterly in arrears. For purposes of clarification, Swing Line Loans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 considered outstanding for purposes of determining the unused portion of the Aggregate Revolving Commitments.</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Fee Letter; Other Fees</w:t>
      </w:r>
      <w:r>
        <w:rPr>
          <w:rFonts w:ascii="Times New Roman;sans-serif" w:hAnsi="Times New Roman;sans-serif"/>
          <w:b w:val="false"/>
          <w:color w:val="000000"/>
          <w:sz w:val="22"/>
        </w:rPr>
        <w:t>. The Borrower shall pay to BofA Securities and the Administrative Agent for their own respective accounts fees in the amounts and at the times specified in the Fee Letter. Such fees shall be fully earned when paid and shall not be refundable for any reason whatsoever. The Borrower shall pay to the Lenders such fees as shall have been separately agreed upon in writing in the amounts and at the times so specified. Such fees shall be fully earned when paid and shall not be refundable for any reason whatsoever.</w:t>
      </w:r>
    </w:p>
    <w:p>
      <w:pPr>
        <w:pStyle w:val="TextBody"/>
        <w:bidi w:val="0"/>
        <w:spacing w:lineRule="auto" w:line="240" w:before="0" w:after="240"/>
        <w:ind w:left="0" w:right="0" w:firstLine="720"/>
        <w:jc w:val="both"/>
        <w:rPr/>
      </w:pPr>
      <w:r>
        <w:rPr>
          <w:rFonts w:ascii="Times New Roman;sans-serif" w:hAnsi="Times New Roman;sans-serif"/>
          <w:b/>
          <w:color w:val="000000"/>
          <w:sz w:val="22"/>
        </w:rPr>
        <w:t>1.j</w:t>
      </w:r>
      <w:r>
        <w:rPr>
          <w:rFonts w:ascii="Times New Roman;sans-serif" w:hAnsi="Times New Roman;sans-serif"/>
          <w:b/>
          <w:color w:val="000000"/>
          <w:sz w:val="22"/>
          <w:u w:val="single"/>
        </w:rPr>
        <w:t>Computation of Interest and Fees; Retroactive Adjustments of Applicable Rate</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Computation of Interest and Fees</w:t>
      </w:r>
      <w:r>
        <w:rPr>
          <w:rFonts w:ascii="Times New Roman;sans-serif" w:hAnsi="Times New Roman;sans-serif"/>
          <w:b w:val="false"/>
          <w:color w:val="000000"/>
          <w:sz w:val="22"/>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any Loan that is repaid on the same day on which it is made shall, subject to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 bear interest for one day. Each determination by the Administrative Agent of an interest rate or fee hereunder shall be conclusive and binding for all purposes, absent manifest error.</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Financial Statement Adjustments or Restatements</w:t>
      </w:r>
      <w:r>
        <w:rPr>
          <w:rFonts w:ascii="Times New Roman;sans-serif" w:hAnsi="Times New Roman;sans-serif"/>
          <w:b w:val="false"/>
          <w:color w:val="000000"/>
          <w:sz w:val="22"/>
        </w:rPr>
        <w:t xml:space="preserve">. If, as a result of any restatement of or other adjustment to the financial statements of the Borrower and its Subsidiaries or for any other reason, the Borrower or the Lenders determine that (i) the Consolidated Leverage Ratio as calculated by the Borrower as of any applicable date was inaccurate and (ii) a proper calculation of the Consolidated Leverage Ratio would have resulted in higher pricing or fees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any provision of this Agreement to payment of any Obligations hereunder at the Default Rate or under </w:t>
      </w:r>
      <w:r>
        <w:rPr>
          <w:rFonts w:ascii="Times New Roman;sans-serif" w:hAnsi="Times New Roman;sans-serif"/>
          <w:b w:val="false"/>
          <w:color w:val="000000"/>
          <w:sz w:val="22"/>
          <w:u w:val="single"/>
        </w:rPr>
        <w:t>Article IX</w:t>
      </w:r>
      <w:r>
        <w:rPr>
          <w:rFonts w:ascii="Times New Roman;sans-serif" w:hAnsi="Times New Roman;sans-serif"/>
          <w:b w:val="false"/>
          <w:color w:val="000000"/>
          <w:sz w:val="22"/>
        </w:rPr>
        <w:t>. The Borrower’s obligations under this paragraph shall survive the termination of the Aggregate Commitments and the repayment of all other Obligations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1.k</w:t>
      </w:r>
      <w:r>
        <w:rPr>
          <w:rFonts w:ascii="Times New Roman;sans-serif" w:hAnsi="Times New Roman;sans-serif"/>
          <w:b/>
          <w:color w:val="000000"/>
          <w:sz w:val="22"/>
          <w:u w:val="single"/>
        </w:rPr>
        <w:t>Evidence of Debt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(i)The Credit Extensions made by each Lender shall be evidenced by one or more accounts or records maintained by such Lender in the ordinary course of business. The Administrative Agent shall maintain the Register in accordance with </w:t>
      </w:r>
      <w:r>
        <w:rPr>
          <w:rFonts w:ascii="Times New Roman;sans-serif" w:hAnsi="Times New Roman;sans-serif"/>
          <w:b w:val="false"/>
          <w:color w:val="000000"/>
          <w:sz w:val="22"/>
          <w:u w:val="single"/>
        </w:rPr>
        <w:t>Section 11.06(c)</w:t>
      </w:r>
      <w:r>
        <w:rPr>
          <w:rFonts w:ascii="Times New Roman;sans-serif" w:hAnsi="Times New Roman;sans-serif"/>
          <w:b w:val="false"/>
          <w:color w:val="000000"/>
          <w:sz w:val="22"/>
        </w:rPr>
        <w:t xml:space="preserve">.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Times New Roman;sans-serif" w:hAnsi="Times New Roman;sans-serif"/>
          <w:b w:val="false"/>
          <w:color w:val="000000"/>
          <w:sz w:val="22"/>
          <w:u w:val="single"/>
        </w:rPr>
        <w:t>Exhibit 2.11(a)</w:t>
      </w:r>
      <w:r>
        <w:rPr>
          <w:color w:val="000000"/>
        </w:rPr>
        <w:t xml:space="preserve"> </w:t>
      </w:r>
      <w:r>
        <w:rPr>
          <w:rFonts w:ascii="Times New Roman;sans-serif" w:hAnsi="Times New Roman;sans-serif"/>
          <w:b w:val="false"/>
          <w:color w:val="000000"/>
          <w:sz w:val="22"/>
        </w:rPr>
        <w:t>(a “</w:t>
      </w:r>
      <w:r>
        <w:rPr>
          <w:rFonts w:ascii="Times New Roman;sans-serif" w:hAnsi="Times New Roman;sans-serif"/>
          <w:b w:val="false"/>
          <w:color w:val="000000"/>
          <w:sz w:val="22"/>
          <w:u w:val="single"/>
        </w:rPr>
        <w:t>Note</w:t>
      </w:r>
      <w:r>
        <w:rPr>
          <w:color w:val="000000"/>
        </w:rPr>
        <w:t>”</w:t>
      </w:r>
      <w:r>
        <w:rPr>
          <w:rFonts w:ascii="Times New Roman;sans-serif" w:hAnsi="Times New Roman;sans-serif"/>
          <w:b w:val="false"/>
          <w:color w:val="000000"/>
          <w:sz w:val="22"/>
        </w:rPr>
        <w:t xml:space="preserve">). Each Lender may attach schedules to its Note and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endorse thereon the date, Type (if applicable), amount and maturity of its Loans and payments with respect thereto.</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(ii)In addition to the accounts and records referred to in </w:t>
      </w:r>
      <w:r>
        <w:rPr>
          <w:rFonts w:ascii="Times New Roman;sans-serif" w:hAnsi="Times New Roman;sans-serif"/>
          <w:b w:val="false"/>
          <w:color w:val="000000"/>
          <w:sz w:val="22"/>
          <w:u w:val="single"/>
        </w:rPr>
        <w:t>Section 2.11(a)</w:t>
      </w:r>
      <w:r>
        <w:rPr>
          <w:rFonts w:ascii="Times New Roman;sans-serif" w:hAnsi="Times New Roman;sans-serif"/>
          <w:b w:val="false"/>
          <w:color w:val="000000"/>
          <w:sz w:val="22"/>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40" w:before="0" w:after="240"/>
        <w:ind w:left="0" w:right="0" w:firstLine="720"/>
        <w:jc w:val="both"/>
        <w:rPr/>
      </w:pPr>
      <w:r>
        <w:rPr>
          <w:rFonts w:ascii="Times New Roman;sans-serif" w:hAnsi="Times New Roman;sans-serif"/>
          <w:b/>
          <w:color w:val="000000"/>
          <w:sz w:val="22"/>
        </w:rPr>
        <w:t>1.l</w:t>
      </w:r>
      <w:r>
        <w:rPr>
          <w:rFonts w:ascii="Times New Roman;sans-serif" w:hAnsi="Times New Roman;sans-serif"/>
          <w:b/>
          <w:color w:val="000000"/>
          <w:sz w:val="22"/>
          <w:u w:val="single"/>
        </w:rPr>
        <w:t>Payments Generally; Administrative Agent’s Clawback</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lineRule="auto" w:line="240" w:before="0" w:after="240"/>
        <w:ind w:left="0" w:right="0" w:hanging="268"/>
        <w:jc w:val="both"/>
        <w:rPr/>
      </w:pPr>
      <w:r>
        <w:rPr>
          <w:rFonts w:ascii="Times New Roman;sans-serif" w:hAnsi="Times New Roman;sans-serif"/>
          <w:b w:val="false"/>
          <w:color w:val="000000"/>
          <w:sz w:val="22"/>
        </w:rPr>
        <w:t>(ii)(i)    </w:t>
      </w:r>
      <w:r>
        <w:rPr>
          <w:rFonts w:ascii="Times New Roman;sans-serif" w:hAnsi="Times New Roman;sans-serif"/>
          <w:b w:val="false"/>
          <w:color w:val="000000"/>
          <w:sz w:val="22"/>
          <w:u w:val="single"/>
        </w:rPr>
        <w:t>Funding by Lenders; Presumption by Administrative Agent</w:t>
      </w:r>
      <w:r>
        <w:rPr>
          <w:rFonts w:ascii="Times New Roman;sans-serif" w:hAnsi="Times New Roman;sans-serif"/>
          <w:b w:val="false"/>
          <w:color w:val="000000"/>
          <w:sz w:val="22"/>
        </w:rPr>
        <w:t xml:space="preserve">. Unless the Administrative Agent shall have received notice from a Lender prior to the proposed date of any Borrowing of Term SOFR Loans (or, in the case of any Borrowing of Base Rate Loans or SOFR Daily Floating Rate Swing Line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(or, in the case of a Borrowing of Base Rate Loans, that such Lender has made such share available in accordance with and at the time required by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    </w:t>
      </w:r>
      <w:r>
        <w:rPr>
          <w:rFonts w:ascii="Times New Roman;sans-serif" w:hAnsi="Times New Roman;sans-serif"/>
          <w:b w:val="false"/>
          <w:color w:val="000000"/>
          <w:sz w:val="22"/>
          <w:u w:val="single"/>
        </w:rPr>
        <w:t>Payments by Borrower; Presumptions by Administrative Agent</w:t>
      </w:r>
      <w:r>
        <w:rPr>
          <w:rFonts w:ascii="Times New Roman;sans-serif" w:hAnsi="Times New Roman;sans-serif"/>
          <w:b w:val="false"/>
          <w:color w:val="000000"/>
          <w:sz w:val="22"/>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sans-serif" w:hAnsi="Times New Roman;sans-serif"/>
          <w:b w:val="false"/>
          <w:color w:val="000000"/>
          <w:sz w:val="22"/>
          <w:u w:val="single"/>
        </w:rPr>
        <w:t>Rescindable Amount</w:t>
      </w:r>
      <w:r>
        <w:rPr>
          <w:color w:val="000000"/>
        </w:rPr>
        <w:t>”</w:t>
      </w:r>
      <w:r>
        <w:rPr>
          <w:rFonts w:ascii="Times New Roman;sans-serif" w:hAnsi="Times New Roman;sans-serif"/>
          <w:b w:val="false"/>
          <w:color w:val="000000"/>
          <w:sz w:val="22"/>
        </w:rPr>
        <w:t>): (A) the Borrower has not in fact made such payment; (B) the Administrative Agent has made a payment in excess of the amount so paid by the Borrower (whether or not then owed); or (C)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lineRule="auto" w:line="240" w:before="0" w:after="240"/>
        <w:jc w:val="both"/>
        <w:rPr/>
      </w:pPr>
      <w:r>
        <w:rPr>
          <w:rFonts w:ascii="Times New Roman;sans-serif" w:hAnsi="Times New Roman;sans-serif"/>
          <w:b w:val="false"/>
          <w:color w:val="000000"/>
          <w:sz w:val="22"/>
        </w:rPr>
        <w:t xml:space="preserve">A notice of the Administrative Agent to any Lender or the Borrower with respect to any amount owing under this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shall be conclusive, absent manifest error.</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Failure to Satisfy Conditions Precedent</w:t>
      </w:r>
      <w:r>
        <w:rPr>
          <w:rFonts w:ascii="Times New Roman;sans-serif" w:hAnsi="Times New Roman;sans-serif"/>
          <w:b w:val="false"/>
          <w:color w:val="000000"/>
          <w:sz w:val="22"/>
        </w:rPr>
        <w:t xml:space="preserve">. If any Lender makes available to the Administrative Agent funds for any Loan to be made by such Lender as provided in the foregoing provisions of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and such funds are not made available to the Borrower by the Administrative Agent because the conditions to the applicable Credit Extension set forth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are not satisfied or waived in accordance with the terms hereof, the Administrative Agent shall promptly return such funds (in like funds as received from such Lender) to such Lender, without interest.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Obligations of Lenders Several</w:t>
      </w:r>
      <w:r>
        <w:rPr>
          <w:rFonts w:ascii="Times New Roman;sans-serif" w:hAnsi="Times New Roman;sans-serif"/>
          <w:b w:val="false"/>
          <w:color w:val="000000"/>
          <w:sz w:val="22"/>
        </w:rPr>
        <w:t xml:space="preserve">. The obligations of the Lenders hereunder to make Incremental Term Loans and Revolving Loans, the obligations of the Revolving Lenders to fund participations in Letters of Credit and Swing Line Loans, and the obligations of the Lenders to make payments pursuant to </w:t>
      </w:r>
      <w:r>
        <w:rPr>
          <w:rFonts w:ascii="Times New Roman;sans-serif" w:hAnsi="Times New Roman;sans-serif"/>
          <w:b w:val="false"/>
          <w:color w:val="000000"/>
          <w:sz w:val="22"/>
          <w:u w:val="single"/>
        </w:rPr>
        <w:t>Section 11.04(c)</w:t>
      </w:r>
      <w:r>
        <w:rPr>
          <w:rFonts w:ascii="Times New Roman;sans-serif" w:hAnsi="Times New Roman;sans-serif"/>
          <w:b w:val="false"/>
          <w:color w:val="000000"/>
          <w:sz w:val="22"/>
        </w:rPr>
        <w:t xml:space="preserve">, in each case, are several and not joint. The failure of any Lender to make any Loan, to fund any such participation or to make any payment under </w:t>
      </w:r>
      <w:r>
        <w:rPr>
          <w:rFonts w:ascii="Times New Roman;sans-serif" w:hAnsi="Times New Roman;sans-serif"/>
          <w:b w:val="false"/>
          <w:color w:val="000000"/>
          <w:sz w:val="22"/>
          <w:u w:val="single"/>
        </w:rPr>
        <w:t>Section 11.04(c)</w:t>
      </w:r>
      <w:r>
        <w:rPr>
          <w:color w:val="000000"/>
        </w:rPr>
        <w:t xml:space="preserve"> </w:t>
      </w:r>
      <w:r>
        <w:rPr>
          <w:rFonts w:ascii="Times New Roman;sans-serif" w:hAnsi="Times New Roman;sans-serif"/>
          <w:b w:val="false"/>
          <w:color w:val="000000"/>
          <w:sz w:val="22"/>
        </w:rPr>
        <w:t xml:space="preserve">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sans-serif" w:hAnsi="Times New Roman;sans-serif"/>
          <w:b w:val="false"/>
          <w:color w:val="000000"/>
          <w:sz w:val="22"/>
          <w:u w:val="single"/>
        </w:rPr>
        <w:t>Section 11.04(c)</w:t>
      </w:r>
      <w:r>
        <w:rPr>
          <w:rFonts w:ascii="Times New Roman;sans-serif" w:hAnsi="Times New Roman;sans-serif"/>
          <w:b w:val="false"/>
          <w:color w:val="000000"/>
          <w:sz w:val="22"/>
        </w:rPr>
        <w:t>.</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Funding Source</w:t>
      </w:r>
      <w:r>
        <w:rPr>
          <w:rFonts w:ascii="Times New Roman;sans-serif" w:hAnsi="Times New Roman;sans-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40" w:before="0" w:after="240"/>
        <w:ind w:left="0" w:right="0" w:firstLine="720"/>
        <w:jc w:val="both"/>
        <w:rPr/>
      </w:pPr>
      <w:r>
        <w:rPr>
          <w:rFonts w:ascii="Times New Roman;sans-serif" w:hAnsi="Times New Roman;sans-serif"/>
          <w:b/>
          <w:color w:val="000000"/>
          <w:sz w:val="22"/>
        </w:rPr>
        <w:t>1.m</w:t>
      </w:r>
      <w:r>
        <w:rPr>
          <w:rFonts w:ascii="Times New Roman;sans-serif" w:hAnsi="Times New Roman;sans-serif"/>
          <w:b/>
          <w:color w:val="000000"/>
          <w:sz w:val="22"/>
          <w:u w:val="single"/>
        </w:rPr>
        <w:t>Sharing of Payments by Lenders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Times New Roman;sans-serif" w:hAnsi="Times New Roman;sans-serif"/>
          <w:b w:val="false"/>
          <w:color w:val="000000"/>
          <w:sz w:val="22"/>
          <w:u w:val="single"/>
        </w:rPr>
        <w:t>pro</w:t>
      </w:r>
      <w:r>
        <w:rPr>
          <w:color w:val="000000"/>
        </w:rPr>
        <w:t xml:space="preserve"> </w:t>
      </w:r>
      <w:r>
        <w:rPr>
          <w:rFonts w:ascii="Times New Roman;sans-serif" w:hAnsi="Times New Roman;sans-serif"/>
          <w:b w:val="false"/>
          <w:color w:val="000000"/>
          <w:sz w:val="22"/>
          <w:u w:val="single"/>
        </w:rPr>
        <w:t>rata</w:t>
      </w:r>
      <w:r>
        <w:rPr>
          <w:color w:val="000000"/>
        </w:rPr>
        <w:t xml:space="preserve"> </w:t>
      </w:r>
      <w:r>
        <w:rPr>
          <w:rFonts w:ascii="Times New Roman;sans-serif" w:hAnsi="Times New Roman;sans-serif"/>
          <w:b w:val="false"/>
          <w:color w:val="000000"/>
          <w:sz w:val="22"/>
        </w:rPr>
        <w:t xml:space="preserve">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Lenders ratably in accordance with the aggregate amount of principal of and accrued interest on their respective Loans and other amounts owing them;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if any such participations or subparticipations are purchased and all or any portion of the payment giving rise thereto is recovered, such participations or subparticipations shall be rescinded and the purchase price restored to the extent of such recovery, without interest; and (ii) the provisions of this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 xml:space="preserve">shall not be construed to apply to (A) any payment made by or on behalf of the Borrower pursuant to and in accordance with the express terms of this Agreement (including the application of funds arising from the existence of a Defaulting Lender or a Disqualified Institution), (B) the application of Cash Collateral provided for in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or (C) any payment obtained by a Lender as consideration for the assignment of or sale of a participation in any of its Loans or subparticipations in L/C Obligations or Swing Line Loans to any assignee or participant, other than an assignment to any Loan Party or any Subsidiary thereof (as to which the provisions of this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1.n</w:t>
      </w:r>
      <w:r>
        <w:rPr>
          <w:rFonts w:ascii="Times New Roman;sans-serif" w:hAnsi="Times New Roman;sans-serif"/>
          <w:b/>
          <w:color w:val="000000"/>
          <w:sz w:val="22"/>
          <w:u w:val="single"/>
        </w:rPr>
        <w:t>Cash Collateral</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Certain Credit Support Events</w:t>
      </w:r>
      <w:r>
        <w:rPr>
          <w:rFonts w:ascii="Times New Roman;sans-serif" w:hAnsi="Times New Roman;sans-serif"/>
          <w:b w:val="false"/>
          <w:color w:val="000000"/>
          <w:sz w:val="22"/>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Times New Roman;sans-serif" w:hAnsi="Times New Roman;sans-serif"/>
          <w:b w:val="false"/>
          <w:color w:val="000000"/>
          <w:sz w:val="22"/>
          <w:u w:val="single"/>
        </w:rPr>
        <w:t>Section 9.02(c)</w:t>
      </w:r>
      <w:r>
        <w:rPr>
          <w:color w:val="000000"/>
        </w:rPr>
        <w:t xml:space="preserve"> </w:t>
      </w:r>
      <w:r>
        <w:rPr>
          <w:rFonts w:ascii="Times New Roman;sans-serif" w:hAnsi="Times New Roman;sans-serif"/>
          <w:b w:val="false"/>
          <w:color w:val="000000"/>
          <w:sz w:val="22"/>
        </w:rPr>
        <w:t xml:space="preserve">or (iv) there shall exist a Defaulting Lender, the Borrower shall immediately (in the case of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sans-serif" w:hAnsi="Times New Roman;sans-serif"/>
          <w:b w:val="false"/>
          <w:color w:val="000000"/>
          <w:sz w:val="22"/>
          <w:u w:val="single"/>
        </w:rPr>
        <w:t>clause (iv)</w:t>
      </w:r>
      <w:r>
        <w:rPr>
          <w:color w:val="000000"/>
        </w:rPr>
        <w:t xml:space="preserve"> </w:t>
      </w:r>
      <w:r>
        <w:rPr>
          <w:rFonts w:ascii="Times New Roman;sans-serif" w:hAnsi="Times New Roman;sans-serif"/>
          <w:b w:val="false"/>
          <w:color w:val="000000"/>
          <w:sz w:val="22"/>
        </w:rPr>
        <w:t xml:space="preserve">above, after giving effect to </w:t>
      </w:r>
      <w:r>
        <w:rPr>
          <w:rFonts w:ascii="Times New Roman;sans-serif" w:hAnsi="Times New Roman;sans-serif"/>
          <w:b w:val="false"/>
          <w:color w:val="000000"/>
          <w:sz w:val="22"/>
          <w:u w:val="single"/>
        </w:rPr>
        <w:t>Section 2.15(b)</w:t>
      </w:r>
      <w:r>
        <w:rPr>
          <w:color w:val="000000"/>
        </w:rPr>
        <w:t xml:space="preserve"> </w:t>
      </w:r>
      <w:r>
        <w:rPr>
          <w:rFonts w:ascii="Times New Roman;sans-serif" w:hAnsi="Times New Roman;sans-serif"/>
          <w:b w:val="false"/>
          <w:color w:val="000000"/>
          <w:sz w:val="22"/>
        </w:rPr>
        <w:t>and any Cash Collateral provided by the Defaulting Lender).</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xml:space="preserve">. All Cash Collateral (other than credit support not constituting funds subject to deposit) shall be maintained in blocked, non-interest bearing deposit accounts at Bank of America.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sans-serif" w:hAnsi="Times New Roman;sans-serif"/>
          <w:b w:val="false"/>
          <w:color w:val="000000"/>
          <w:sz w:val="22"/>
          <w:u w:val="single"/>
        </w:rPr>
        <w:t>Section 2.14(c)</w:t>
      </w:r>
      <w:r>
        <w:rPr>
          <w:rFonts w:ascii="Times New Roman;sans-serif" w:hAnsi="Times New Roman;sans-serif"/>
          <w:b w:val="false"/>
          <w:color w:val="000000"/>
          <w:sz w:val="22"/>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sans-serif" w:hAnsi="Times New Roman;sans-serif"/>
          <w:b w:val="false"/>
          <w:color w:val="000000"/>
          <w:sz w:val="22"/>
          <w:u w:val="single"/>
        </w:rPr>
        <w:t>Section 8.01(m)</w:t>
      </w:r>
      <w:r>
        <w:rPr>
          <w:rFonts w:ascii="Times New Roman;sans-serif" w:hAnsi="Times New Roman;sans-serif"/>
          <w:b w:val="false"/>
          <w:color w:val="000000"/>
          <w:sz w:val="22"/>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The Borrower shall pay on demand therefor from time to time all customary account opening, activity and other administrative fees and charges in connection with the maintenance and disbursement of Cash Collateral.</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Application</w:t>
      </w:r>
      <w:r>
        <w:rPr>
          <w:rFonts w:ascii="Times New Roman;sans-serif" w:hAnsi="Times New Roman;sans-serif"/>
          <w:b w:val="false"/>
          <w:color w:val="000000"/>
          <w:sz w:val="22"/>
        </w:rPr>
        <w:t xml:space="preserve">. Notwithstanding anything to the contrary contained in this Agreement, Cash Collateral provided under any of this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Sections 2.03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9.02</w:t>
      </w:r>
      <w:r>
        <w:rPr>
          <w:color w:val="000000"/>
        </w:rPr>
        <w:t xml:space="preserve"> </w:t>
      </w:r>
      <w:r>
        <w:rPr>
          <w:rFonts w:ascii="Times New Roman;sans-serif" w:hAnsi="Times New Roman;sans-serif"/>
          <w:b w:val="false"/>
          <w:color w:val="000000"/>
          <w:sz w:val="22"/>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xml:space="preserve">. Cash Collateral (or the appropriate portion thereof) provided to reduce Fronting Exposure or to secure other obligations shall be released promptly following (i) the elimination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the applicable Fronting Exposure or other obligations giving rise thereto (including by the termination of Defaulting Lender status of the applicable Lender (or, as appropriate, its assignee following compliance with </w:t>
      </w:r>
      <w:r>
        <w:rPr>
          <w:rFonts w:ascii="Times New Roman;sans-serif" w:hAnsi="Times New Roman;sans-serif"/>
          <w:b w:val="false"/>
          <w:color w:val="000000"/>
          <w:sz w:val="22"/>
          <w:u w:val="single"/>
        </w:rPr>
        <w:t>Section 11.06(b)(vi)</w:t>
      </w:r>
      <w:r>
        <w:rPr>
          <w:rFonts w:ascii="Times New Roman;sans-serif" w:hAnsi="Times New Roman;sans-serif"/>
          <w:b w:val="false"/>
          <w:color w:val="000000"/>
          <w:sz w:val="22"/>
        </w:rPr>
        <w:t xml:space="preserve">)) or (ii) the good faith determination by the Administrative Agent and the L/C Issuer that there exists excess Cash Collateral;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1.o</w:t>
      </w:r>
      <w:r>
        <w:rPr>
          <w:rFonts w:ascii="Times New Roman;sans-serif" w:hAnsi="Times New Roman;sans-serif"/>
          <w:b/>
          <w:color w:val="000000"/>
          <w:sz w:val="22"/>
          <w:u w:val="single"/>
        </w:rPr>
        <w:t>Defaulting Lenders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xml:space="preserve">. Such Defaulting Lender’s right to approve or disapprove any amendment, waiver or consent with respect to this Agreement shall be restricted as set forth in the definition of “Required Lenders”, the definition of “Required Revolving Lenders”, and </w:t>
      </w:r>
      <w:r>
        <w:rPr>
          <w:rFonts w:ascii="Times New Roman;sans-serif" w:hAnsi="Times New Roman;sans-serif"/>
          <w:b w:val="false"/>
          <w:color w:val="000000"/>
          <w:sz w:val="22"/>
          <w:u w:val="single"/>
        </w:rPr>
        <w:t>Section 11.01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Defaulting Lender Waterfall</w:t>
      </w:r>
      <w:r>
        <w:rPr>
          <w:rFonts w:ascii="Times New Roman;sans-serif" w:hAnsi="Times New Roman;sans-serif"/>
          <w:b w:val="false"/>
          <w:color w:val="000000"/>
          <w:sz w:val="22"/>
        </w:rPr>
        <w:t xml:space="preserve">. Any payment of principal, interest, fees or other amounts received by the Administrative Agent for the account of such Defaulting Lender (whether voluntary or mandatory, at maturity, pursuant to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 xml:space="preserve">or otherwise) or received by the Administrative Agent from a Defaulting Lender pursuant to </w:t>
      </w:r>
      <w:r>
        <w:rPr>
          <w:rFonts w:ascii="Times New Roman;sans-serif" w:hAnsi="Times New Roman;sans-serif"/>
          <w:b w:val="false"/>
          <w:color w:val="000000"/>
          <w:sz w:val="22"/>
          <w:u w:val="single"/>
        </w:rPr>
        <w:t>Section 11.08</w:t>
      </w:r>
      <w:r>
        <w:rPr>
          <w:color w:val="000000"/>
        </w:rPr>
        <w:t xml:space="preserve"> </w:t>
      </w:r>
      <w:r>
        <w:rPr>
          <w:rFonts w:ascii="Times New Roman;sans-serif" w:hAnsi="Times New Roman;sans-serif"/>
          <w:b w:val="false"/>
          <w:color w:val="000000"/>
          <w:sz w:val="22"/>
        </w:rPr>
        <w:t xml:space="preserve">shall be applied at such time or times as may be determined by the Administrative Agent as follows: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the payment of any amounts owing by such Defaulting Lender to the Administrative Agent hereunder;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to the payment on a pro rata basis of any amounts owing by such Defaulting Lender to the L/C Issuer or Swing Line Lender hereunder; </w:t>
      </w: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xml:space="preserve">, to Cash Collateralize the L/C Issuer’s Fronting Exposure with respect to such Defaulting Lender in accordance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sans-serif" w:hAnsi="Times New Roman;sans-serif"/>
          <w:b w:val="false"/>
          <w:color w:val="000000"/>
          <w:sz w:val="22"/>
          <w:u w:val="single"/>
        </w:rPr>
        <w:t>seventh</w:t>
      </w:r>
      <w:r>
        <w:rPr>
          <w:rFonts w:ascii="Times New Roman;sans-serif" w:hAnsi="Times New Roman;sans-serif"/>
          <w:b w:val="false"/>
          <w:color w:val="000000"/>
          <w:sz w:val="22"/>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ans-serif" w:hAnsi="Times New Roman;sans-serif"/>
          <w:b w:val="false"/>
          <w:color w:val="000000"/>
          <w:sz w:val="22"/>
          <w:u w:val="single"/>
        </w:rPr>
        <w:t>eighth</w:t>
      </w:r>
      <w:r>
        <w:rPr>
          <w:rFonts w:ascii="Times New Roman;sans-serif" w:hAnsi="Times New Roman;sans-serif"/>
          <w:b w:val="false"/>
          <w:color w:val="000000"/>
          <w:sz w:val="22"/>
        </w:rPr>
        <w:t xml:space="preserve">, to such Defaulting Lender or as otherwise directed by a court of competent jurisdiction;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sans-serif" w:hAnsi="Times New Roman;sans-serif"/>
          <w:b w:val="false"/>
          <w:color w:val="000000"/>
          <w:sz w:val="22"/>
          <w:u w:val="single"/>
        </w:rPr>
        <w:t>Section 2.15(b)</w:t>
      </w:r>
      <w:r>
        <w:rPr>
          <w:rFonts w:ascii="Times New Roman;sans-serif" w:hAnsi="Times New Roman;sans-serif"/>
          <w:b w:val="false"/>
          <w:color w:val="000000"/>
          <w:sz w:val="22"/>
        </w:rPr>
        <w:t xml:space="preserve">. Any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2"/>
          <w:u w:val="single"/>
        </w:rPr>
        <w:t>Section 2.15(a)(ii)</w:t>
      </w:r>
      <w:r>
        <w:rPr>
          <w:color w:val="000000"/>
        </w:rPr>
        <w:t xml:space="preserve"> </w:t>
      </w:r>
      <w:r>
        <w:rPr>
          <w:rFonts w:ascii="Times New Roman;sans-serif" w:hAnsi="Times New Roman;sans-serif"/>
          <w:b w:val="false"/>
          <w:color w:val="000000"/>
          <w:sz w:val="22"/>
        </w:rPr>
        <w:t>shall be deemed paid to and redirected by such Defaulting Lender, and each Lender irrevocably consents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(1)No Defaulting Lender shall be entitled to receive any Commitment Fee payable under </w:t>
      </w:r>
      <w:r>
        <w:rPr>
          <w:rFonts w:ascii="Times New Roman;sans-serif" w:hAnsi="Times New Roman;sans-serif"/>
          <w:b w:val="false"/>
          <w:color w:val="000000"/>
          <w:sz w:val="22"/>
          <w:u w:val="single"/>
        </w:rPr>
        <w:t>Section 2.09(a)</w:t>
      </w:r>
      <w:r>
        <w:rPr>
          <w:color w:val="000000"/>
        </w:rPr>
        <w:t xml:space="preserve"> </w:t>
      </w:r>
      <w:r>
        <w:rPr>
          <w:rFonts w:ascii="Times New Roman;sans-serif" w:hAnsi="Times New Roman;sans-serif"/>
          <w:b w:val="false"/>
          <w:color w:val="000000"/>
          <w:sz w:val="22"/>
        </w:rPr>
        <w:t>for any period during which that Lender is a Defaulting Lender (and the Borrower shall not be required to pay any Commitment Fee that otherwise would have been required to have been paid to that Defaulting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Defaulting Lender Fees</w:t>
      </w:r>
      <w:r>
        <w:rPr>
          <w:rFonts w:ascii="Times New Roman;sans-serif" w:hAnsi="Times New Roman;sans-serif"/>
          <w:b w:val="false"/>
          <w:color w:val="000000"/>
          <w:sz w:val="22"/>
        </w:rPr>
        <w:t xml:space="preserve">. With respect to any Letter of Credit Fee not required to be paid to any Defaulting Lender pursuant to </w:t>
      </w:r>
      <w:r>
        <w:rPr>
          <w:rFonts w:ascii="Times New Roman;sans-serif" w:hAnsi="Times New Roman;sans-serif"/>
          <w:b w:val="false"/>
          <w:color w:val="000000"/>
          <w:sz w:val="22"/>
          <w:u w:val="single"/>
        </w:rPr>
        <w:t>clause (iii)(B)</w:t>
      </w:r>
      <w:r>
        <w:rPr>
          <w:color w:val="000000"/>
        </w:rPr>
        <w:t xml:space="preserve"> </w:t>
      </w:r>
      <w:r>
        <w:rPr>
          <w:rFonts w:ascii="Times New Roman;sans-serif" w:hAnsi="Times New Roman;sans-serif"/>
          <w:b w:val="false"/>
          <w:color w:val="000000"/>
          <w:sz w:val="22"/>
        </w:rPr>
        <w:t xml:space="preserve">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below, (y) pay to the L/C Issuer the amount of any such fee otherwise payable to such Defaulting Lender to the extent allocable to such L/C Issuer’s Fronting Exposure to such Defaulting Lender, and (z) not be required to pay the remaining amount of any such fee.</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Reallocation of Applicable Revolving Percentages to Reduce Fronting Exposure</w:t>
      </w:r>
      <w:r>
        <w:rPr>
          <w:rFonts w:ascii="Times New Roman;sans-serif" w:hAnsi="Times New Roman;sans-serif"/>
          <w:b w:val="false"/>
          <w:color w:val="000000"/>
          <w:sz w:val="22"/>
        </w:rPr>
        <w:t xml:space="preserve">. All or any part of such Defaulting Lender’s participation in L/C Obligations and Swing Line Loans shall be reallocated among the Non-Defaulting Lenders in accordance with their respective Applicable Revolving Percentages (calculated without regard to such Defaulting Lender’s Revolving Commitment) but only to the extent that such reallocation does not cause the aggregate Revolving Credit Exposure of any Non-Defaulting Lender to exceed such Non-Defaulting Lender’s Revolving Commitment. Subject to </w:t>
      </w:r>
      <w:r>
        <w:rPr>
          <w:rFonts w:ascii="Times New Roman;sans-serif" w:hAnsi="Times New Roman;sans-serif"/>
          <w:b w:val="false"/>
          <w:color w:val="000000"/>
          <w:sz w:val="22"/>
          <w:u w:val="single"/>
        </w:rPr>
        <w:t>Section 11.20</w:t>
      </w:r>
      <w:r>
        <w:rPr>
          <w:rFonts w:ascii="Times New Roman;sans-serif" w:hAnsi="Times New Roman;sans-serif"/>
          <w:b w:val="false"/>
          <w:color w:val="000000"/>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Cash Collateral, Repayment of Swing Line Loans</w:t>
      </w:r>
      <w:r>
        <w:rPr>
          <w:rFonts w:ascii="Times New Roman;sans-serif" w:hAnsi="Times New Roman;sans-serif"/>
          <w:b w:val="false"/>
          <w:color w:val="000000"/>
          <w:sz w:val="22"/>
        </w:rPr>
        <w:t xml:space="preserve">. If the reallocation described in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 xml:space="preserve">above cannot, or can only partially, be effected, the Borrower shall, without prejudice to any right or remedy available to it hereunder or under applicable Law, (x) </w:t>
      </w: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prepay Swing Line Loans in an amount equal to the Swing Line Lenders’ Fronting Exposure and (y) </w:t>
      </w: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xml:space="preserve">, Cash Collateralize the L/C Issuers’ Fronting Exposure in accordance with the procedures set forth in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Borrower,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sans-serif" w:hAnsi="Times New Roman;sans-serif"/>
          <w:b w:val="false"/>
          <w:color w:val="000000"/>
          <w:sz w:val="22"/>
          <w:u w:val="single"/>
        </w:rPr>
        <w:t>Section 2.15(b)</w:t>
      </w:r>
      <w:r>
        <w:rPr>
          <w:rFonts w:ascii="Times New Roman;sans-serif" w:hAnsi="Times New Roman;sans-serif"/>
          <w:b w:val="false"/>
          <w:color w:val="000000"/>
          <w:sz w:val="22"/>
        </w:rPr>
        <w:t xml:space="preserve">), whereupon such Lender will cease to be a Defaulting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no adjustments will be made retroactively with respect to fees accrued or payments made by or on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behalf of the Borrower while that Lender was a Defaulting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240"/>
        <w:ind w:left="0" w:right="0" w:firstLine="720"/>
        <w:jc w:val="both"/>
        <w:rPr/>
      </w:pPr>
      <w:r>
        <w:rPr>
          <w:rFonts w:ascii="Times New Roman;sans-serif" w:hAnsi="Times New Roman;sans-serif"/>
          <w:b/>
          <w:color w:val="000000"/>
          <w:sz w:val="22"/>
        </w:rPr>
        <w:t>1.p</w:t>
      </w:r>
      <w:r>
        <w:rPr>
          <w:rFonts w:ascii="Times New Roman;sans-serif" w:hAnsi="Times New Roman;sans-serif"/>
          <w:b/>
          <w:color w:val="000000"/>
          <w:sz w:val="22"/>
          <w:u w:val="single"/>
        </w:rPr>
        <w:t>Non-Extending Lender</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(i)Notwithstanding anything to the contrary set forth in this Agreement or any other Loan Document, it is understood and agreed that, on the Revolving Maturity Date with respect to the Non-Extending Lender, (i) the Borrower shall repay in full all then-outstanding Revolving Loans held by the Non-Extending Lender (and pay any additional amounts required pursuant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(ii) the Revolving Commitment of the Non-Extending Lender shall be terminated, (iii) the Aggregate Revolving Commitments shall be automatically reduced by the amount of the Non-Extending Lender’s Revolving Commitment terminated pursuant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above, (iv) the Applicable Revolving Percentages of the Revolving Lenders shall be automatically updated to reflect each Revolving Lender’s Applicable Percentage in respect of the Aggregate Revolving Commitments (as reduced pursuant to </w:t>
      </w:r>
      <w:r>
        <w:rPr>
          <w:rFonts w:ascii="Times New Roman;sans-serif" w:hAnsi="Times New Roman;sans-serif"/>
          <w:b w:val="false"/>
          <w:color w:val="000000"/>
          <w:sz w:val="22"/>
          <w:u w:val="single"/>
        </w:rPr>
        <w:t>clause (iii)</w:t>
      </w:r>
      <w:r>
        <w:rPr>
          <w:color w:val="000000"/>
        </w:rPr>
        <w:t xml:space="preserve"> </w:t>
      </w:r>
      <w:r>
        <w:rPr>
          <w:rFonts w:ascii="Times New Roman;sans-serif" w:hAnsi="Times New Roman;sans-serif"/>
          <w:b w:val="false"/>
          <w:color w:val="000000"/>
          <w:sz w:val="22"/>
        </w:rPr>
        <w:t xml:space="preserve">above), (v) the Borrower and the Administrative Agent shall effect such assignments, prepayments, borrowings and reallocations as are necessary to effectuate the modifications contemplated by this </w:t>
      </w:r>
      <w:r>
        <w:rPr>
          <w:rFonts w:ascii="Times New Roman;sans-serif" w:hAnsi="Times New Roman;sans-serif"/>
          <w:b w:val="false"/>
          <w:color w:val="000000"/>
          <w:sz w:val="22"/>
          <w:u w:val="single"/>
        </w:rPr>
        <w:t>Section 2.16(a)</w:t>
      </w:r>
      <w:r>
        <w:rPr>
          <w:rFonts w:ascii="Times New Roman;sans-serif" w:hAnsi="Times New Roman;sans-serif"/>
          <w:b w:val="false"/>
          <w:color w:val="000000"/>
          <w:sz w:val="22"/>
        </w:rPr>
        <w:t xml:space="preserve">, in each case such that, after giving effect thereto, (A) each Revolving Lender will hold its respective Applicable Percentage of the Aggregate Revolving Commitments and the Outstanding Amount of all Revolving Loans, and (B) the risk participations of each Revolving Lender in any outstanding Letter of Credit or Swing Line Loans shall be automatically reallocated in accordance with such Revolving Lender’s Applicable Revolving Percentage, and (vi) after giving effect to the modifications contemplated by this </w:t>
      </w:r>
      <w:r>
        <w:rPr>
          <w:rFonts w:ascii="Times New Roman;sans-serif" w:hAnsi="Times New Roman;sans-serif"/>
          <w:b w:val="false"/>
          <w:color w:val="000000"/>
          <w:sz w:val="22"/>
          <w:u w:val="single"/>
        </w:rPr>
        <w:t>Section 2.16(a)</w:t>
      </w:r>
      <w:r>
        <w:rPr>
          <w:rFonts w:ascii="Times New Roman;sans-serif" w:hAnsi="Times New Roman;sans-serif"/>
          <w:b w:val="false"/>
          <w:color w:val="000000"/>
          <w:sz w:val="22"/>
        </w:rPr>
        <w:t>, to the extent the Total Revolving Outstandings exceed the Aggregate Revolving Commitments at such time, the Borrower shall immediately prepay Revolving Loans and/or Cash Collateralize the L/C Obligations in an aggregate amount equal to such excess.</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(ii)This Agreement and the other Loan Documents may be amended (and the Lenders hereby authorize the Administrative Agent to enter into any such amendments) to give effect to any of the transactions contemplated by </w:t>
      </w:r>
      <w:r>
        <w:rPr>
          <w:rFonts w:ascii="Times New Roman;sans-serif" w:hAnsi="Times New Roman;sans-serif"/>
          <w:b w:val="false"/>
          <w:color w:val="000000"/>
          <w:sz w:val="22"/>
          <w:u w:val="single"/>
        </w:rPr>
        <w:t>Section 2.16(a)</w:t>
      </w:r>
      <w:r>
        <w:rPr>
          <w:color w:val="000000"/>
        </w:rPr>
        <w:t xml:space="preserve"> </w:t>
      </w:r>
      <w:r>
        <w:rPr>
          <w:rFonts w:ascii="Times New Roman;sans-serif" w:hAnsi="Times New Roman;sans-serif"/>
          <w:b w:val="false"/>
          <w:color w:val="000000"/>
          <w:sz w:val="22"/>
        </w:rPr>
        <w:t xml:space="preserve">pursuant to documentation executed by the Borrower and the Administrative Agent, without the consent of any other Person (including any Lender), including amendments to (i) make such changes to this Agreement and the other Loan Documents consistent with the provisions and intent of this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 xml:space="preserve">, and (ii) effect such other amendments to this Agreement and the other Loan Documents as may be necessary or appropriate, in the reasonable opinion of the Administrative Agent, to effect the provisions of this </w:t>
      </w:r>
      <w:r>
        <w:rPr>
          <w:rFonts w:ascii="Times New Roman;sans-serif" w:hAnsi="Times New Roman;sans-serif"/>
          <w:b w:val="false"/>
          <w:color w:val="000000"/>
          <w:sz w:val="22"/>
          <w:u w:val="single"/>
        </w:rPr>
        <w:t>Section 2.16</w:t>
      </w:r>
      <w:r>
        <w:rPr>
          <w:rFonts w:ascii="Times New Roman;sans-serif" w:hAnsi="Times New Roman;sans-serif"/>
          <w:b w:val="false"/>
          <w:color w:val="000000"/>
          <w:sz w:val="22"/>
        </w:rPr>
        <w:t>.</w:t>
      </w:r>
    </w:p>
    <w:p>
      <w:pPr>
        <w:pStyle w:val="TextBody"/>
        <w:bidi w:val="0"/>
        <w:spacing w:lineRule="auto" w:line="240" w:before="0" w:after="240"/>
        <w:jc w:val="center"/>
        <w:rPr/>
      </w:pPr>
      <w:r>
        <w:rPr>
          <w:rFonts w:ascii="Times New Roman;sans-serif" w:hAnsi="Times New Roman;sans-serif"/>
          <w:b/>
          <w:color w:val="000000"/>
          <w:sz w:val="22"/>
        </w:rPr>
        <w:t>Article 3.</w:t>
      </w:r>
      <w:r>
        <w:rPr>
          <w:rFonts w:ascii="Times New Roman;sans-serif" w:hAnsi="Times New Roman;sans-serif"/>
          <w:b/>
          <w:color w:val="000000"/>
          <w:sz w:val="22"/>
        </w:rPr>
        <w:br/>
        <w:br/>
        <w:t>TAXES, YIELD PROTECTION AND ILLEGALITY</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Taxes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Payments Free of Taxes; Obligation to Withhold; Payments on Account of Taxes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sans-serif" w:hAnsi="Times New Roman;sans-serif"/>
          <w:b w:val="false"/>
          <w:color w:val="000000"/>
          <w:sz w:val="22"/>
          <w:u w:val="single"/>
        </w:rPr>
        <w:t>subsection (e)</w:t>
      </w:r>
      <w:r>
        <w:rPr>
          <w:color w:val="000000"/>
        </w:rPr>
        <w:t xml:space="preserve"> </w:t>
      </w:r>
      <w:r>
        <w:rPr>
          <w:rFonts w:ascii="Times New Roman;sans-serif" w:hAnsi="Times New Roman;sans-serif"/>
          <w:b w:val="false"/>
          <w:color w:val="000000"/>
          <w:sz w:val="22"/>
        </w:rPr>
        <w:t>below.</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(2)If any Loan Party or the Administrative Agent shall be required by the Internal Revenue Code to withhold or deduct any Taxes, including both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sans-serif" w:hAnsi="Times New Roman;sans-serif"/>
          <w:b w:val="false"/>
          <w:color w:val="000000"/>
          <w:sz w:val="22"/>
          <w:u w:val="single"/>
        </w:rPr>
        <w:t>subsection (e)</w:t>
      </w:r>
      <w:r>
        <w:rPr>
          <w:color w:val="000000"/>
        </w:rPr>
        <w:t xml:space="preserve"> </w:t>
      </w:r>
      <w:r>
        <w:rPr>
          <w:rFonts w:ascii="Times New Roman;sans-serif" w:hAnsi="Times New Roman;sans-serif"/>
          <w:b w:val="false"/>
          <w:color w:val="000000"/>
          <w:sz w:val="22"/>
        </w:rPr>
        <w:t xml:space="preserve">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the applicable Recipient receives an amount equal to the sum it would have received had no such withholding or deduction been made.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sans-serif" w:hAnsi="Times New Roman;sans-serif"/>
          <w:b w:val="false"/>
          <w:color w:val="000000"/>
          <w:sz w:val="22"/>
          <w:u w:val="single"/>
        </w:rPr>
        <w:t>subsection (e)</w:t>
      </w:r>
      <w:r>
        <w:rPr>
          <w:color w:val="000000"/>
        </w:rPr>
        <w:t xml:space="preserve"> </w:t>
      </w:r>
      <w:r>
        <w:rPr>
          <w:rFonts w:ascii="Times New Roman;sans-serif" w:hAnsi="Times New Roman;sans-serif"/>
          <w:b w:val="false"/>
          <w:color w:val="000000"/>
          <w:sz w:val="22"/>
        </w:rPr>
        <w:t xml:space="preserve">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the applicable Recipient receives an amount equal to the sum it would have received had no such withholding or deduction been made.</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Payment of Other Taxes by the Loan Parties</w:t>
      </w:r>
      <w:r>
        <w:rPr>
          <w:rFonts w:ascii="Times New Roman;sans-serif" w:hAnsi="Times New Roman;sans-serif"/>
          <w:b w:val="false"/>
          <w:color w:val="000000"/>
          <w:sz w:val="22"/>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Tax Indemnifications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ten days after demand therefor, for any amount which a Lender or the L/C Issuer for any reason fails to pay indefeasibly to the Administrative Agent as required pursuant to </w:t>
      </w:r>
      <w:r>
        <w:rPr>
          <w:rFonts w:ascii="Times New Roman;sans-serif" w:hAnsi="Times New Roman;sans-serif"/>
          <w:b w:val="false"/>
          <w:color w:val="000000"/>
          <w:sz w:val="22"/>
          <w:u w:val="single"/>
        </w:rPr>
        <w:t>Section 3.01(c)(ii)</w:t>
      </w:r>
      <w:r>
        <w:rPr>
          <w:color w:val="000000"/>
        </w:rPr>
        <w:t xml:space="preserve"> </w:t>
      </w:r>
      <w:r>
        <w:rPr>
          <w:rFonts w:ascii="Times New Roman;sans-serif" w:hAnsi="Times New Roman;sans-serif"/>
          <w:b w:val="false"/>
          <w:color w:val="000000"/>
          <w:sz w:val="22"/>
        </w:rPr>
        <w:t xml:space="preserve">below;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Lender or the L/C Issuer, as the case may be, shall indemnify the Borrower to the extent of any payment the Borrower makes to the Administrative Agent pursuant to this sentence with respect to Taxes described in clauses (y) and (z) of </w:t>
      </w:r>
      <w:r>
        <w:rPr>
          <w:rFonts w:ascii="Times New Roman;sans-serif" w:hAnsi="Times New Roman;sans-serif"/>
          <w:b w:val="false"/>
          <w:color w:val="000000"/>
          <w:sz w:val="22"/>
          <w:u w:val="single"/>
        </w:rPr>
        <w:t>Section 3.01(c)(ii)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    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sans-serif" w:hAnsi="Times New Roman;sans-serif"/>
          <w:b w:val="false"/>
          <w:color w:val="000000"/>
          <w:sz w:val="22"/>
          <w:u w:val="single"/>
        </w:rPr>
        <w:t>Section 11.06(d)</w:t>
      </w:r>
      <w:r>
        <w:rPr>
          <w:color w:val="000000"/>
        </w:rPr>
        <w:t xml:space="preserve"> </w:t>
      </w:r>
      <w:r>
        <w:rPr>
          <w:rFonts w:ascii="Times New Roman;sans-serif" w:hAnsi="Times New Roman;sans-serif"/>
          <w:b w:val="false"/>
          <w:color w:val="000000"/>
          <w:sz w:val="22"/>
        </w:rPr>
        <w:t xml:space="preserve">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Upon request by any Loan Party or the Administrative Agent, as the case may be, after any payment of Taxes by such Loan Party or by the Administrative Agent to a Governmental Authority as provided in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Status of Lenders; Tax Documentation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2"/>
          <w:u w:val="single"/>
        </w:rPr>
        <w:t>Section 3.01(e)(ii)(A)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3.01(e)(ii)(B)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3.01(e)(ii)(D)</w:t>
      </w:r>
      <w:r>
        <w:rPr>
          <w:color w:val="000000"/>
        </w:rPr>
        <w:t xml:space="preserve"> </w:t>
      </w:r>
      <w:r>
        <w:rPr>
          <w:rFonts w:ascii="Times New Roman;sans-serif" w:hAnsi="Times New Roman;sans-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(2)Without limiting the generality of the foregoing, in the event that the Borrower is a U.S. Person,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(2)any Foreign Lender shall, to the extent it is legally entitled to do so, deliver to the Borrower and the Administrative Agent (in such number of copies as shall be requested by the recipient) on or prior to the date on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(2)executed copies of IRS Form W-8ECI;</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(3)in the case of a Foreign Lender claiming the benefits of the exemption for portfolio interest under Section 881(c) of the Internal Revenue Code, (x) a certificate substantially in the form of </w:t>
      </w:r>
      <w:r>
        <w:rPr>
          <w:rFonts w:ascii="Times New Roman;sans-serif" w:hAnsi="Times New Roman;sans-serif"/>
          <w:b w:val="false"/>
          <w:color w:val="000000"/>
          <w:sz w:val="22"/>
          <w:u w:val="single"/>
        </w:rPr>
        <w:t>Exhibit 3.01-A</w:t>
      </w:r>
      <w:r>
        <w:rPr>
          <w:color w:val="000000"/>
        </w:rPr>
        <w:t xml:space="preserve"> </w:t>
      </w:r>
      <w:r>
        <w:rPr>
          <w:rFonts w:ascii="Times New Roman;sans-serif" w:hAnsi="Times New Roman;sans-serif"/>
          <w:b w:val="false"/>
          <w:color w:val="000000"/>
          <w:sz w:val="22"/>
        </w:rPr>
        <w:t>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and (y) executed copies of IRS Form W-8BEN-E (or W-8BEN, as applicable);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(4)to the extent a Foreign Lender is not the beneficial owner, executed copies of IRS Form W-8IMY, accompanied by IRS Form W-8ECI, IRS Form W-8BEN-E (or W-8BEN, as applicable), a U.S. Tax Compliance Certificate substantially in the form of </w:t>
      </w:r>
      <w:r>
        <w:rPr>
          <w:rFonts w:ascii="Times New Roman;sans-serif" w:hAnsi="Times New Roman;sans-serif"/>
          <w:b w:val="false"/>
          <w:color w:val="000000"/>
          <w:sz w:val="22"/>
          <w:u w:val="single"/>
        </w:rPr>
        <w:t>Exhibit 3.01-B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Exhibit 3.01-C</w:t>
      </w:r>
      <w:r>
        <w:rPr>
          <w:rFonts w:ascii="Times New Roman;sans-serif" w:hAnsi="Times New Roman;sans-serif"/>
          <w:b w:val="false"/>
          <w:color w:val="000000"/>
          <w:sz w:val="22"/>
        </w:rPr>
        <w:t xml:space="preserve">, IRS Form W-9,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val="false"/>
          <w:color w:val="000000"/>
          <w:sz w:val="22"/>
          <w:u w:val="single"/>
        </w:rPr>
        <w:t>Exhibit 3.01-D</w:t>
      </w:r>
      <w:r>
        <w:rPr>
          <w:color w:val="000000"/>
        </w:rPr>
        <w:t xml:space="preserve"> </w:t>
      </w:r>
      <w:r>
        <w:rPr>
          <w:rFonts w:ascii="Times New Roman;sans-serif" w:hAnsi="Times New Roman;sans-serif"/>
          <w:b w:val="false"/>
          <w:color w:val="000000"/>
          <w:sz w:val="22"/>
        </w:rPr>
        <w:t>on behalf of each such direct and indirect partner;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(4)if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2"/>
          <w:u w:val="single"/>
        </w:rPr>
        <w:t>clause (D)</w:t>
      </w:r>
      <w:r>
        <w:rPr>
          <w:rFonts w:ascii="Times New Roman;sans-serif" w:hAnsi="Times New Roman;sans-serif"/>
          <w:b w:val="false"/>
          <w:color w:val="000000"/>
          <w:sz w:val="22"/>
        </w:rPr>
        <w:t>, “FATCA” shall include any amendments made to FATCA after the Closing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(3)Each Lender agrees that if any form or certification it previously delivered pursuant to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it shall pay to the Loan Party an amount equal to such refund (but only to the extent of indemnity payments made, or additional amounts paid, by a Loan Party under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Each party’s obligations under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or the L/C Issuer, the termination of the Aggregate Commitments and the repayment, satisfaction or discharge of all other Obligations.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Illegality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any Lender determines that any Law has made it unlawful, or that any Governmental Authority has asserted that it is unlawful, for any Lender or its applicable Lending Office to perform any of its obligations hereunder, make, maintain, fund or charge interest with respect to any Credit Extension, or to determine or charge interest rates based upon SOFR, Term SOFR or SOFR Daily Floating Rate, then, upon notice thereof by such Lender to the Borrower through the Administrative Agent, (a) any obligation of such Lender to issue, make, maintain, fund or charge interest with respect to such Credit Extension or continue Term SOFR Loans or the SOFR Daily Floating Rate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of such Lender’s Term SOFR Loans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prepay all SOFR Daily Floating Rate Swing Line Loans and (ii)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Inability to Determine Rates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If in connection with any request for a Term SOFR Loan or a conversion to or continuation thereof, or in connection with any request for a SOFR Daily Floating Rate Swing Line Loan, (i) the Administrative Agent determines (which determination shall be conclusive absent manifest error) that (A) no Successor Rate has been determined in accordance with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 xml:space="preserve">, and the circumstances under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3.03(b)</w:t>
      </w:r>
      <w:r>
        <w:rPr>
          <w:color w:val="000000"/>
        </w:rPr>
        <w:t xml:space="preserve"> </w:t>
      </w:r>
      <w:r>
        <w:rPr>
          <w:rFonts w:ascii="Times New Roman;sans-serif" w:hAnsi="Times New Roman;sans-serif"/>
          <w:b w:val="false"/>
          <w:color w:val="000000"/>
          <w:sz w:val="22"/>
        </w:rPr>
        <w:t xml:space="preserve">or the Scheduled Unavailability Date has occurred (as applicable), or (B) adequate and reasonable means do not otherwise exist for determining the Term SOFR for any requested Interest Period with respect to a proposed Term SOFR Loan, or for determining the SOFR Daily Floating Rate for any proposed SOFR Daily Floating Rate Swing Line Loan, or in connection with an existing or proposed Base Rate Loan, or (ii) the Administrative Agent or the Required Lenders determine that for any reason the Term SOFR for any requested Interest Period with respect to a proposed Term SOFR Loan or the SOFR Daily Floating Rate with respect to a proposed SOFR Daily Floating Rate Swing Line Loan does not adequately and fairly reflect the cost to such Lenders of funding such Loan, the Administrative Agent will promptly so notify the Borrower and each Lender. Thereafter, (1) the obligation of the Lenders to make or maintain Term SOFR Loans or SOFR Daily Floating Rate Swing Line Loans or to convert Base Rate Loans to Term SOFR Loans shall be suspended (to the extent of the affected Term SOFR Loans or Interest Periods or to the extent of the affected SOFR Daily Floating Rate Swing Line Loans) and (2)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3.03(a)</w:t>
      </w:r>
      <w:r>
        <w:rPr>
          <w:rFonts w:ascii="Times New Roman;sans-serif" w:hAnsi="Times New Roman;sans-serif"/>
          <w:b w:val="false"/>
          <w:color w:val="000000"/>
          <w:sz w:val="22"/>
        </w:rPr>
        <w:t>, until the Administrative Agent, upon instruction of the Required Lenders) revokes such notice. Upon receipt of such notice, (x) the Borrower may revoke any pending request for a Borrowing of, conversion to or continuation of Term SOFR Loans or SOFR Daily Floating Rate Swing Line Loans (to the extent of the affected Term SOFR Loans or Interest Periods or to the extent of the affected SOFR Daily Floating Rate Swing Line Loans) or, failing that, will be deemed to have converted such request into a request for a Borrowing of Base Rate Loans in the amount specified therein and (y) any outstanding Term SOFR Loans shall be deemed to have been converted to Base Rate Loans immediately in the case of SOFR Daily Floating Rate Swing Line Loans or, in the case of Term SOFR Loans, at the end of their respective applicable Interest Period.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(1)adequate and reasonable means do not exist for ascertaining one month, three month and six month interest periods of Term SOFR (or, in the case of SOFR Daily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Floating Rate Swing Line Loans, the one month interest period of Term SOFR), including because the Term SOFR Screen Rate is not available or published on a current basis and such circumstances are unlikely to be temporary;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in the case of the SOFR Daily Floating Rate, the one month interest period of Term SOFR) or the Term SOFR Screen Rate shall or will no longer be made available, or permitted to be used for determining the interest rate of Dollar denominated syndicated loans, or shall or will otherwise cease;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at the time of such statement, there is no successor administrator that is satisfactory to the Administrative Agent that will continue to provide such interest periods of Term SOFR (or, in the case of the SOFR Daily Floating Rate, the one month interest period of Term SOFR) after such specific date (the latest date on which one month, three month and six month interest periods of Term SOFR (or, in the case of the SOFR Daily Floating Rate, the one month interest period of Term SOFR) or the Term SOFR Screen Rate are no longer available permanently or indefinitely, the “</w:t>
      </w:r>
      <w:r>
        <w:rPr>
          <w:rFonts w:ascii="Times New Roman;sans-serif" w:hAnsi="Times New Roman;sans-serif"/>
          <w:b w:val="false"/>
          <w:color w:val="000000"/>
          <w:sz w:val="22"/>
          <w:u w:val="single"/>
        </w:rPr>
        <w:t>Scheduled Unavailability Date</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jc w:val="both"/>
        <w:rPr/>
      </w:pPr>
      <w:r>
        <w:rPr>
          <w:rFonts w:ascii="Times New Roman;sans-serif" w:hAnsi="Times New Roman;sans-serif"/>
          <w:b w:val="false"/>
          <w:color w:val="000000"/>
          <w:sz w:val="22"/>
        </w:rPr>
        <w:t>then, on a date and time determined by the Administrative Agent (any such date, the “</w:t>
      </w:r>
      <w:r>
        <w:rPr>
          <w:rFonts w:ascii="Times New Roman;sans-serif" w:hAnsi="Times New Roman;sans-serif"/>
          <w:b w:val="false"/>
          <w:color w:val="000000"/>
          <w:sz w:val="22"/>
          <w:u w:val="single"/>
        </w:rPr>
        <w:t>Term SOFR Replacement Date</w:t>
      </w:r>
      <w:r>
        <w:rPr>
          <w:color w:val="000000"/>
        </w:rPr>
        <w:t>”</w:t>
      </w:r>
      <w:r>
        <w:rPr>
          <w:rFonts w:ascii="Times New Roman;sans-serif" w:hAnsi="Times New Roman;sans-serif"/>
          <w:b w:val="false"/>
          <w:color w:val="000000"/>
          <w:sz w:val="22"/>
        </w:rPr>
        <w:t xml:space="preserve">), which date shall be, in the case of Term SOFR Loans, at the end of an Interest Period or on the relevant interest payment date, as applicable, for interest calculated and, solely with respect to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 xml:space="preserve">above, no later than the Scheduled Unavailability Date, Term SOFR and the SOFR Daily Floating Rate will be replaced hereunder and under any Loan Document with Daily Simple SOFR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sans-serif" w:hAnsi="Times New Roman;sans-serif"/>
          <w:b w:val="false"/>
          <w:color w:val="000000"/>
          <w:sz w:val="22"/>
          <w:u w:val="single"/>
        </w:rPr>
        <w:t>Successor Rate</w:t>
      </w:r>
      <w:r>
        <w:rPr>
          <w:color w:val="000000"/>
        </w:rPr>
        <w:t>”</w:t>
      </w:r>
      <w:r>
        <w:rPr>
          <w:rFonts w:ascii="Times New Roman;sans-serif" w:hAnsi="Times New Roman;sans-serif"/>
          <w:b w:val="false"/>
          <w:color w:val="000000"/>
          <w:sz w:val="22"/>
        </w:rPr>
        <w:t xml:space="preserve">). If the Successor Rate is Daily Simple SOFR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SOFR Adjustment, all interest payments will be payable on a quarterly basis.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sans-serif" w:hAnsi="Times New Roman;sans-serif"/>
          <w:b w:val="false"/>
          <w:color w:val="000000"/>
          <w:sz w:val="22"/>
          <w:u w:val="single"/>
        </w:rPr>
        <w:t>Section 3.03(b)(i)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3.03(b)(ii)</w:t>
      </w:r>
      <w:r>
        <w:rPr>
          <w:color w:val="000000"/>
        </w:rPr>
        <w:t xml:space="preserve"> </w:t>
      </w:r>
      <w:r>
        <w:rPr>
          <w:rFonts w:ascii="Times New Roman;sans-serif" w:hAnsi="Times New Roman;sans-serif"/>
          <w:b w:val="false"/>
          <w:color w:val="000000"/>
          <w:sz w:val="22"/>
        </w:rPr>
        <w:t xml:space="preserve">have occurred with respect to the Successor Rate then in effect, then in each case, the Administrative Agent and the Borrower may amend this Agreement and the other Loan Documents solely for the purpose of replacing Term SOFR, the SOFR Daily Floating Rate or any then current Successor Rate in accordance with this </w:t>
      </w:r>
      <w:r>
        <w:rPr>
          <w:rFonts w:ascii="Times New Roman;sans-serif" w:hAnsi="Times New Roman;sans-serif"/>
          <w:b w:val="false"/>
          <w:color w:val="000000"/>
          <w:sz w:val="22"/>
          <w:u w:val="single"/>
        </w:rPr>
        <w:t>Section 3.03(b)</w:t>
      </w:r>
      <w:r>
        <w:rPr>
          <w:color w:val="000000"/>
        </w:rPr>
        <w:t xml:space="preserve"> </w:t>
      </w:r>
      <w:r>
        <w:rPr>
          <w:rFonts w:ascii="Times New Roman;sans-serif" w:hAnsi="Times New Roman;sans-serif"/>
          <w:b w:val="false"/>
          <w:color w:val="000000"/>
          <w:sz w:val="22"/>
        </w:rPr>
        <w:t>at the end of any Interest Period, relevant interest payment date or payment period (or, in the case of a daily floating interest rate, upon the effectiveness of such amendment)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Administrative Agent will promptly (in one or more notices) notify the Borrower and each Lender of the implementation of any Successor Rate. Any Successor Rate shall be applied in a manner consistent with market practice;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to the extent such market practice is not administratively feasible for the Administrative Agent, such Successor Rate shall be applied in a manner as otherwise reasonably determined by the Administrative Agent. Notwithstanding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anything else herein, if at any time any Successor Rate as so determined would otherwise be less than zero, the Successor Rate will be deemed to be zero for the purposes of this Agreement and the other Loan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with respect to any such amendment effected, the Administrative Agent shall post each such amendment implementing such Conforming Changes to the Borrower and the Lenders reasonably promptly after such amendment becomes effective.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For purposes of this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 those Lenders that either have not made, or do not have an obligation under this Agreement to make, the relevant Loans in Dollars shall be excluded from any determination of Required Lenders.</w:t>
      </w:r>
    </w:p>
    <w:p>
      <w:pPr>
        <w:pStyle w:val="TextBody"/>
        <w:bidi w:val="0"/>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u w:val="single"/>
        </w:rPr>
        <w:t>Increased Costs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Increased Costs Generally</w:t>
      </w:r>
      <w:r>
        <w:rPr>
          <w:rFonts w:ascii="Times New Roman;sans-serif" w:hAnsi="Times New Roman;sans-serif"/>
          <w:b w:val="false"/>
          <w:color w:val="000000"/>
          <w:sz w:val="22"/>
        </w:rPr>
        <w:t>. If any Change in Law shall:</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(1)impose, modify or deem applicable any reserve, special deposit, compulsory loan, insurance charge or similar requirement against assets of, deposits with or for the account of, or credit extended or participated in by, any Lender or the L/C Issuer;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(2)subject any Recipient to any Taxes (other than (A) Indemnified Taxes, (B) Taxes described in </w:t>
      </w:r>
      <w:r>
        <w:rPr>
          <w:rFonts w:ascii="Times New Roman;sans-serif" w:hAnsi="Times New Roman;sans-serif"/>
          <w:b w:val="false"/>
          <w:color w:val="000000"/>
          <w:sz w:val="22"/>
          <w:u w:val="single"/>
        </w:rPr>
        <w:t>clauses (b)</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(3)impose on any Lender or the L/C Issuer any other condition, cost or expense affecting this Agreement or Term SOFR Loans or SOFR Daily Floating Rate Swing Line Loans made by such Lender or any Letter of Credit or participation therein;</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of making, converting to, continuing or maintaining any Loan other than a Base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Capital Requirements</w:t>
      </w:r>
      <w:r>
        <w:rPr>
          <w:rFonts w:ascii="Times New Roman;sans-serif" w:hAnsi="Times New Roman;sans-serif"/>
          <w:b w:val="false"/>
          <w:color w:val="000000"/>
          <w:sz w:val="22"/>
        </w:rPr>
        <w:t xml:space="preserve">.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additional amount or amounts as will compensate such Lender or the L/C Issuer or such Lender’s or the L/C Issuer’s holding company for any such reduction suffered.</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Certificates for Reimbursement</w:t>
      </w:r>
      <w:r>
        <w:rPr>
          <w:rFonts w:ascii="Times New Roman;sans-serif" w:hAnsi="Times New Roman;sans-serif"/>
          <w:b w:val="false"/>
          <w:color w:val="000000"/>
          <w:sz w:val="22"/>
        </w:rPr>
        <w:t xml:space="preserve">. A certificate of a Lender or the L/C Issuer setting forth the amount or amounts necessary to compensate such Lender or the L/C Issuer or its holding company, as the case may be, as specified in </w:t>
      </w:r>
      <w:r>
        <w:rPr>
          <w:rFonts w:ascii="Times New Roman;sans-serif" w:hAnsi="Times New Roman;sans-serif"/>
          <w:b w:val="false"/>
          <w:color w:val="000000"/>
          <w:sz w:val="22"/>
          <w:u w:val="single"/>
        </w:rPr>
        <w:t>Section 3.04(a)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3.04(b)</w:t>
      </w:r>
      <w:r>
        <w:rPr>
          <w:color w:val="000000"/>
        </w:rPr>
        <w:t xml:space="preserve"> </w:t>
      </w:r>
      <w:r>
        <w:rPr>
          <w:rFonts w:ascii="Times New Roman;sans-serif" w:hAnsi="Times New Roman;sans-serif"/>
          <w:b w:val="false"/>
          <w:color w:val="000000"/>
          <w:sz w:val="22"/>
        </w:rPr>
        <w:t>and delivered to the Borrower shall be conclusive absent manifest error. The Borrower shall pay such Lender or the L/C Issuer, as the case may be, the amount shown as due on any such certificate within ten days after receipt thereof.</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Delay in Requests</w:t>
      </w:r>
      <w:r>
        <w:rPr>
          <w:rFonts w:ascii="Times New Roman;sans-serif" w:hAnsi="Times New Roman;sans-serif"/>
          <w:b w:val="false"/>
          <w:color w:val="000000"/>
          <w:sz w:val="22"/>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u w:val="single"/>
        </w:rPr>
        <w:t>Compensation for Losses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Upon demand of any Lender (with a copy to the Administrative Agent) from time to time, the Borrower shall promptly compensate such Lender for and hold such Lender harmless from any loss, cost or expense incurred by it as a result of:</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(i)any continuation, conversion, payment or prepayment of any Loan other than a Base Rate Loan on a day other than the last day of the Interest Period for such Loan (whether voluntary, mandatory, automatic, by reason of acceleration, or otherwise);</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(ii)any failure by the Borrower (for a reason other than the failure of such Lender to make a Loan) to prepay, borrow, continue or convert any Loan other than a Base Rate Loan on the date or in the amount notified by the Borrower; or</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 xml:space="preserve">(iii)any assignment of a Term SOFR Loan on a day other than the last day of the Interest Period therefor as a result of a request by the Borrower pursuant to </w:t>
      </w:r>
      <w:r>
        <w:rPr>
          <w:rFonts w:ascii="Times New Roman;sans-serif" w:hAnsi="Times New Roman;sans-serif"/>
          <w:b w:val="false"/>
          <w:color w:val="000000"/>
          <w:sz w:val="22"/>
          <w:u w:val="single"/>
        </w:rPr>
        <w:t>Section 11.13</w:t>
      </w:r>
      <w:r>
        <w:rPr>
          <w:rFonts w:ascii="Times New Roman;sans-serif" w:hAnsi="Times New Roman;sans-serif"/>
          <w:b w:val="false"/>
          <w:color w:val="000000"/>
          <w:sz w:val="22"/>
        </w:rPr>
        <w:t xml:space="preserve">; </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u w:val="single"/>
        </w:rPr>
        <w:t>Mitigation Obligations; Replacement of Lenders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Designation of a Different Lending Office</w:t>
      </w:r>
      <w:r>
        <w:rPr>
          <w:rFonts w:ascii="Times New Roman;sans-serif" w:hAnsi="Times New Roman;sans-serif"/>
          <w:b w:val="false"/>
          <w:color w:val="000000"/>
          <w:sz w:val="22"/>
        </w:rPr>
        <w:t xml:space="preserve">. If any Lender requests compensation under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or the Borrower or any other Loan Party is required to pay any Indemnified Taxes or additional amounts to any Lender, the L/C Issuer, or any Governmental Authority for the account of any Lender or the L/C Issuer pursuant to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or if any Lender gives a notice pursuant to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amounts payable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as the case may be, in the future, or eliminate the need for the notice pursuant to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costs and expenses incurred by any Lender or the L/C Issuer in connection with any such designation or assignment.</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Replacement of Lenders</w:t>
      </w:r>
      <w:r>
        <w:rPr>
          <w:rFonts w:ascii="Times New Roman;sans-serif" w:hAnsi="Times New Roman;sans-serif"/>
          <w:b w:val="false"/>
          <w:color w:val="000000"/>
          <w:sz w:val="22"/>
        </w:rPr>
        <w:t xml:space="preserve">. If any Lender requests compensation under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or if the Borrower or any other Loan Party is required to pay any Indemnified Taxes or additional amounts to any Lender or any Governmental Authority for the account of any Lender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and, in each case, such Lender has declined or is unable to designate a different Lending Office in accordance with </w:t>
      </w:r>
      <w:r>
        <w:rPr>
          <w:rFonts w:ascii="Times New Roman;sans-serif" w:hAnsi="Times New Roman;sans-serif"/>
          <w:b w:val="false"/>
          <w:color w:val="000000"/>
          <w:sz w:val="22"/>
          <w:u w:val="single"/>
        </w:rPr>
        <w:t>Section 3.06(a)</w:t>
      </w:r>
      <w:r>
        <w:rPr>
          <w:rFonts w:ascii="Times New Roman;sans-serif" w:hAnsi="Times New Roman;sans-serif"/>
          <w:b w:val="false"/>
          <w:color w:val="000000"/>
          <w:sz w:val="22"/>
        </w:rPr>
        <w:t xml:space="preserve">, the Borrower may replace such Lender in accordance with </w:t>
      </w:r>
      <w:r>
        <w:rPr>
          <w:rFonts w:ascii="Times New Roman;sans-serif" w:hAnsi="Times New Roman;sans-serif"/>
          <w:b w:val="false"/>
          <w:color w:val="000000"/>
          <w:sz w:val="22"/>
          <w:u w:val="single"/>
        </w:rPr>
        <w:t>Section 11.13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u w:val="single"/>
        </w:rPr>
        <w:t>Survival</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All of the Loan Parties’ obligations under this </w:t>
      </w:r>
      <w:r>
        <w:rPr>
          <w:rFonts w:ascii="Times New Roman;sans-serif" w:hAnsi="Times New Roman;sans-serif"/>
          <w:b w:val="false"/>
          <w:color w:val="000000"/>
          <w:sz w:val="22"/>
          <w:u w:val="single"/>
        </w:rPr>
        <w:t>Article III</w:t>
      </w:r>
      <w:r>
        <w:rPr>
          <w:color w:val="000000"/>
        </w:rPr>
        <w:t xml:space="preserve"> </w:t>
      </w:r>
      <w:r>
        <w:rPr>
          <w:rFonts w:ascii="Times New Roman;sans-serif" w:hAnsi="Times New Roman;sans-serif"/>
          <w:b w:val="false"/>
          <w:color w:val="000000"/>
          <w:sz w:val="22"/>
        </w:rPr>
        <w:t>shall survive termination of the Aggregate Commitments, repayment of all other Obligations hereunder, and resignation of the Administrative Agent.</w:t>
      </w:r>
    </w:p>
    <w:p>
      <w:pPr>
        <w:pStyle w:val="TextBody"/>
        <w:bidi w:val="0"/>
        <w:spacing w:lineRule="auto" w:line="240" w:before="0" w:after="240"/>
        <w:jc w:val="center"/>
        <w:rPr/>
      </w:pPr>
      <w:r>
        <w:rPr>
          <w:rFonts w:ascii="Times New Roman;sans-serif" w:hAnsi="Times New Roman;sans-serif"/>
          <w:b/>
          <w:color w:val="000000"/>
          <w:sz w:val="22"/>
        </w:rPr>
        <w:t>Article 4.</w:t>
      </w:r>
      <w:r>
        <w:rPr>
          <w:rFonts w:ascii="Times New Roman;sans-serif" w:hAnsi="Times New Roman;sans-serif"/>
          <w:b/>
          <w:color w:val="000000"/>
          <w:sz w:val="22"/>
        </w:rPr>
        <w:br/>
        <w:br/>
        <w:t>[RESERVED]</w:t>
      </w:r>
    </w:p>
    <w:p>
      <w:pPr>
        <w:pStyle w:val="TextBody"/>
        <w:bidi w:val="0"/>
        <w:spacing w:lineRule="auto" w:line="240" w:before="0" w:after="240"/>
        <w:jc w:val="center"/>
        <w:rPr/>
      </w:pPr>
      <w:r>
        <w:rPr>
          <w:rFonts w:ascii="Times New Roman;sans-serif" w:hAnsi="Times New Roman;sans-serif"/>
          <w:b/>
          <w:color w:val="000000"/>
          <w:sz w:val="22"/>
        </w:rPr>
        <w:t>Article 5.</w:t>
      </w:r>
      <w:r>
        <w:rPr>
          <w:rFonts w:ascii="Times New Roman;sans-serif" w:hAnsi="Times New Roman;sans-serif"/>
          <w:b/>
          <w:color w:val="000000"/>
          <w:sz w:val="22"/>
        </w:rPr>
        <w:br/>
        <w:br/>
        <w:t>CONDITIONS PRECEDENT TO CREDIT EXTENSIONS</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Conditions to Initial Credit Extension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 of the L/C Issuer and each Lender to honor the initial Request for Credit Extension is subject to the satisfaction of the following conditions precedent as determined by each Lender in its discretion:</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Loan Documents</w:t>
      </w:r>
      <w:r>
        <w:rPr>
          <w:rFonts w:ascii="Times New Roman;sans-serif" w:hAnsi="Times New Roman;sans-serif"/>
          <w:b w:val="false"/>
          <w:color w:val="000000"/>
          <w:sz w:val="22"/>
        </w:rPr>
        <w:t>. Receipt by the Administrative Agent of executed counterparts of this Agreement and the other Loan Documents, each properly executed by a Responsible Officer of the signing Loan Party and in form and substance satisfactory to the Lenders.</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Opinions of Counsel</w:t>
      </w:r>
      <w:r>
        <w:rPr>
          <w:rFonts w:ascii="Times New Roman;sans-serif" w:hAnsi="Times New Roman;sans-serif"/>
          <w:b w:val="false"/>
          <w:color w:val="000000"/>
          <w:sz w:val="22"/>
        </w:rPr>
        <w:t>. Receipt by the Administrative Agent of favorable opinions of legal counsel to the Loan Parties, addressed to the Administrative Agent and each Lender, dated as of the Closing Date, and in form and substance satisfactory to the Administrative Agent.</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Organization Documents, Resolutions, Etc.</w:t>
      </w:r>
      <w:r>
        <w:rPr>
          <w:color w:val="000000"/>
        </w:rPr>
        <w:t xml:space="preserve"> </w:t>
      </w:r>
      <w:r>
        <w:rPr>
          <w:rFonts w:ascii="Times New Roman;sans-serif" w:hAnsi="Times New Roman;sans-serif"/>
          <w:b w:val="false"/>
          <w:color w:val="000000"/>
          <w:sz w:val="22"/>
        </w:rPr>
        <w:t>Receipt by the Administrative Agent of the following, in form and substance satisfactory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(3)such documents and certifications as the Administrative Agent may reasonably require to evidence that each Loan Party is duly organized or formed, and is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validly existing, in good standing and qualified to engage in business in its state of organization or formation.</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Personal Property Collateral</w:t>
      </w:r>
      <w:r>
        <w:rPr>
          <w:rFonts w:ascii="Times New Roman;sans-serif" w:hAnsi="Times New Roman;sans-serif"/>
          <w:b w:val="false"/>
          <w:color w:val="000000"/>
          <w:sz w:val="22"/>
        </w:rPr>
        <w:t>. Receipt by the Administrative Agent of the following: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(1)UCC financing statements for each appropriate jurisdiction as is necessary, in the Administrative Agent’s sole discretion, to perfect the Administrative Agent’s security interest in the Collateral;</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reasonable discretion under the law of the jurisdiction of organization of such Person);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(3)duly executed notices of grant of security interest in the form required by the Security Agreement as are necessary, in the Administrative Agent’s sole discretion, to perfect the Administrative Agent’s security interest in the United States registered intellectual property of the Loan Parties.</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Evidence of Insurance</w:t>
      </w:r>
      <w:r>
        <w:rPr>
          <w:rFonts w:ascii="Times New Roman;sans-serif" w:hAnsi="Times New Roman;sans-serif"/>
          <w:b w:val="false"/>
          <w:color w:val="000000"/>
          <w:sz w:val="22"/>
        </w:rPr>
        <w:t>. Receipt by the Administrative Agent of copies of insurance policies or certificates of insurance of the Loan Parties evidencing liability and casualty insurance meeting the requirements set forth in the Loan Documents, including, but not limited to, naming the Administrative Agent as additional insured (in the case of liability insurance) or lender’s loss payee (in the case of hazard insurance) on behalf of the Lenders.</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Closing Certificate</w:t>
      </w:r>
      <w:r>
        <w:rPr>
          <w:rFonts w:ascii="Times New Roman;sans-serif" w:hAnsi="Times New Roman;sans-serif"/>
          <w:b w:val="false"/>
          <w:color w:val="000000"/>
          <w:sz w:val="22"/>
        </w:rPr>
        <w:t xml:space="preserve">. Receipt by the Administrative Agent of a certificate signed by a Responsible Officer of the Borrower certifying that the conditions specified in </w:t>
      </w:r>
      <w:r>
        <w:rPr>
          <w:rFonts w:ascii="Times New Roman;sans-serif" w:hAnsi="Times New Roman;sans-serif"/>
          <w:b w:val="false"/>
          <w:color w:val="000000"/>
          <w:sz w:val="22"/>
          <w:u w:val="single"/>
        </w:rPr>
        <w:t>Sections 5.02(a)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have been satisfied.</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Solvency Certificate</w:t>
      </w:r>
      <w:r>
        <w:rPr>
          <w:rFonts w:ascii="Times New Roman;sans-serif" w:hAnsi="Times New Roman;sans-serif"/>
          <w:b w:val="false"/>
          <w:color w:val="000000"/>
          <w:sz w:val="22"/>
        </w:rPr>
        <w:t>. Receipt by the Administrative Agent of a certificate signed by the chief financial officer of the Borrower on behalf of the Loan Parties, confirming the solvency of the Borrower and the Guarantors after giving effect to the transactions contemplated hereby.</w:t>
      </w:r>
    </w:p>
    <w:p>
      <w:pPr>
        <w:pStyle w:val="TextBody"/>
        <w:bidi w:val="0"/>
        <w:spacing w:lineRule="auto" w:line="240" w:before="0" w:after="240"/>
        <w:ind w:left="0" w:right="0" w:firstLine="281"/>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Existing Credit Agreement</w:t>
      </w:r>
      <w:r>
        <w:rPr>
          <w:rFonts w:ascii="Times New Roman;sans-serif" w:hAnsi="Times New Roman;sans-serif"/>
          <w:b w:val="false"/>
          <w:color w:val="000000"/>
          <w:sz w:val="22"/>
        </w:rPr>
        <w:t>. The Borrower shall have (i) paid all accrued and unpaid interest on the revolving loans outstanding under that certain Credit Agreement dated as of September 20, 2013, among the Borrower, the guarantors party thereto, the lenders from time to time party thereto and Bank of America, as the administrative agent for the lenders, (as amended, restated, supplemented or otherwise modified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to the Closing Date, (ii) prepaid any revolving loans outstanding under the Existing Credit Agreement to the extent necessary to keep the outstanding Revolving Loans ratable with the revised Revolving Commitments as of the Closing Date, and (iii) paid all accrued fees owing to the lenders under the Existing Credit Agreement to the Closing Date.</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KYC Information</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(1)Upon the request of any Lender made at least ten (10) days prior to the Closing Date, the Borrower shall have provided to such Lender (and such Lender shall be reasonably satisfied with) the documentation and other information so requested in connection with applicable “know your customer” and anti-money-laundering rules and regulations, including the PATRIOT Act, in each case at least five (5) days prior to the Closing Date.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(2)At least five (5) days prior to the Closing Date, if the Borrower qualifies as a “legal entity customer” under the Beneficial Ownership Regulation, the Borrower shall deliver, to each Lender that so requests, a Beneficial Ownership Certification.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Fees and Attorney Costs</w:t>
      </w:r>
      <w:r>
        <w:rPr>
          <w:rFonts w:ascii="Times New Roman;sans-serif" w:hAnsi="Times New Roman;sans-serif"/>
          <w:b w:val="false"/>
          <w:color w:val="000000"/>
          <w:sz w:val="22"/>
        </w:rPr>
        <w:t>. The Borrower shall have paid all fees required to be paid to the Administrative Agent, BofA Securities and the Lenders in connection with the closing of this Agreement, as well as all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Without limiting the generality of the provisions of the last paragraph of </w:t>
      </w:r>
      <w:r>
        <w:rPr>
          <w:rFonts w:ascii="Times New Roman;sans-serif" w:hAnsi="Times New Roman;sans-serif"/>
          <w:b w:val="false"/>
          <w:color w:val="000000"/>
          <w:sz w:val="22"/>
          <w:u w:val="single"/>
        </w:rPr>
        <w:t>Section 10.03</w:t>
      </w:r>
      <w:r>
        <w:rPr>
          <w:rFonts w:ascii="Times New Roman;sans-serif" w:hAnsi="Times New Roman;sans-serif"/>
          <w:b w:val="false"/>
          <w:color w:val="000000"/>
          <w:sz w:val="22"/>
        </w:rPr>
        <w:t xml:space="preserve">, for purposes of determining compliance with the conditions specified in this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Closing Date specifying its objection thereto.</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Conditions to all Credit Extensions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 of each Lender and the L/C Issuer to honor any Request for Credit Extension (other than a Loan Notice requesting only a conversion of Loans to the other Type or continuation of Term SOFR Loans) is subject to the following conditions precedent: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(i)The representations and warranties contained in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or any other Loan Document, or which are contained in any document furnished at any time under or in connection herewith or therewith, shall be true and correct in all material respects (or in all respects, if such representation and warranty is already qualified by materiality or reference to Material Adverse Effect) on and as of the date of such Credit Extension, except to the extent that such representations and warranties specifically refer to an earlier date, in which case they shall be true and correct in all material respects (or in all respects, if such representation or and warranty is already qualified by materiality or reference to Material Adverse Effect) as of such earlier date.</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(ii)No Default or Event of Default shall exist, or would result from such proposed Credit Extension or from the application of the proceeds thereof.</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(iii)The Administrative Agent and, if applicable, the L/C Issuer or the Swing Line Lender, shall have received a Request for Credit Extension in accordance with the requirements 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To the extent that a Request for Credit Extension would result in the Total Revolving Outstanding being greater than $400,000,000, the Borrower shall have delivered evidence reasonably satisfactory to the Administrative Agent that the StoneX Financial Margin Facility has been amended (pursuant to an amendment or refinancing) to permit the incurrence of such amounts or otherwise terminated, and to the extent a Request for Credit Extension would result in the Total Revolving Outstanding being greater than $450,000,000, the Borrower shall have delivered evidence reasonably satisfactory to the Administrative Agent that the StoneX Commodity Facility has been amended (pursuant to an amendment or refinancing) to permit the incurrence of such amounts or otherwise terminated.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Each Request for Credit Extension (other than a Loan Notice requesting only a conversion of Loans to be the other Type or a continuation of Term SOFR Loans) submitted by the Borrower shall be deemed to be a representation and warranty that the conditions specified in </w:t>
      </w:r>
      <w:r>
        <w:rPr>
          <w:rFonts w:ascii="Times New Roman;sans-serif" w:hAnsi="Times New Roman;sans-serif"/>
          <w:b w:val="false"/>
          <w:color w:val="000000"/>
          <w:sz w:val="22"/>
          <w:u w:val="single"/>
        </w:rPr>
        <w:t>Sections 5.02(a)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have been satisfied on and as of the date of the applicable Credit Extension.</w:t>
      </w:r>
    </w:p>
    <w:p>
      <w:pPr>
        <w:pStyle w:val="TextBody"/>
        <w:bidi w:val="0"/>
        <w:spacing w:lineRule="auto" w:line="240" w:before="0" w:after="240"/>
        <w:jc w:val="center"/>
        <w:rPr/>
      </w:pPr>
      <w:r>
        <w:rPr>
          <w:rFonts w:ascii="Times New Roman;sans-serif" w:hAnsi="Times New Roman;sans-serif"/>
          <w:b/>
          <w:color w:val="000000"/>
          <w:sz w:val="22"/>
        </w:rPr>
        <w:t>Article 6.</w:t>
      </w:r>
      <w:r>
        <w:rPr>
          <w:rFonts w:ascii="Times New Roman;sans-serif" w:hAnsi="Times New Roman;sans-serif"/>
          <w:b/>
          <w:color w:val="000000"/>
          <w:sz w:val="22"/>
        </w:rPr>
        <w:br/>
        <w:br/>
        <w:t>REPRESENTATIONS AND WARRANTIES</w: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represents and warrants to the Administrative Agent and the Lenders that:</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Existence, Qualification and Power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Each Loan Party and each Subsidiary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sans-serif" w:hAnsi="Times New Roman;sans-serif"/>
          <w:b w:val="false"/>
          <w:color w:val="000000"/>
          <w:sz w:val="22"/>
          <w:u w:val="single"/>
        </w:rPr>
        <w:t>clause (b)(i)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to the extent that failure to do so could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Authorization; No Contravention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under,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material Law.</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Governmental Authorization; Other Consents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(a) those that have already been obtained and are in full force and effect and (b) filings to perfect the Liens created by the Collateral Documents.</w:t>
      </w:r>
    </w:p>
    <w:p>
      <w:pPr>
        <w:pStyle w:val="TextBody"/>
        <w:bidi w:val="0"/>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Loan Document has been duly executed and delivered by each Loan Party that is party thereto. Each Loan Document constitutes a legal, valid and binding obligation of each Loan Party that is party thereto, enforceable against each such Loan Party in accordance with its terms.</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u w:val="single"/>
        </w:rPr>
        <w:t>Financial Statements; No Material Adverse Effect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(i)The financial statements delivered pursuant to </w:t>
      </w:r>
      <w:r>
        <w:rPr>
          <w:rFonts w:ascii="Times New Roman;sans-serif" w:hAnsi="Times New Roman;sans-serif"/>
          <w:b w:val="false"/>
          <w:color w:val="000000"/>
          <w:sz w:val="22"/>
          <w:u w:val="single"/>
        </w:rPr>
        <w:t>Sections 7.01(a)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7.01(b)</w:t>
      </w:r>
      <w:r>
        <w:rPr>
          <w:rFonts w:ascii="Times New Roman;sans-serif" w:hAnsi="Times New Roman;sans-serif"/>
          <w:b w:val="false"/>
          <w:color w:val="000000"/>
          <w:sz w:val="22"/>
        </w:rPr>
        <w:t>: (i) were prepared in accordance with GAAP consistently applied throughout the period covered thereby, except as otherwise expressly noted therein; (ii) fairly present the consolidated financial condition of the Borrower and its Subsidiaries as of the date thereof and their results of operations for the period covered thereby in accordance with GAAP consistently applied throughout the period covered thereby, except as otherwise expressly noted therein (subject, in the case of unaudited financial statements, to the absence of footnotes and to normal year-end audit adjustments); and (iii) show all material indebtedness and other liabilities, direct or contingent, of the Borrower and its Subsidiaries as of the date thereof, required to be disclosed under GAAP.</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(ii)The Audited Financial Statements: (i) were prepared in accordance with GAAP consistently applied throughout the period covered thereby, except as otherwise expressly noted therein; (ii) fairly present the consolidated financial condition of the Borrower and its Subsidiaries as of the date thereof and their results of operations for the period covered thereby (subject, in the case of unaudited financial statements, to the absence of footnotes and to normal year-end audit adjustments); and (iii) show all material indebtedness and other liabilities, direct or contingent, of the Borrower and its Subsidiaries as of the date thereof, required to be disclosed under GAAP.</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(iii)From the date of the Audited Financial Statements to and including the Seventh Amendment Effective Date, there has been no Disposition or any Involuntary Disposition of any material part of the business or property of the Loan Parties and their Subsidiaries, taken as a whole, and no purchase or other acquisition by any of them of any business or property (including any Equity Interests of any other Person) material in relation to the consolidated financial condition of the Loan Parties and their Subsidiaries, taken as a whole, in each case, which is not reflected in the foregoing financial statements or in the notes thereto and has not otherwise been disclosed in writing to the Lenders on or prior to the Seventh Amendment Effective Date.</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(iv)Since September 30, 2022, there has been no event or circumstance, either individually or in the aggregate, that has had or could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u w:val="single"/>
        </w:rPr>
        <w:t>Litigation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are no actions, suits, proceedings, claims or disputes pending or, to the knowledge of the Borrower after due and diligent investigation, threatened or contemplated,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could reasonably be expected to have a Material Adverse Effect. The Borrower has disclosed certain litigation in its filings with the SEC prior to the Closing Date, but such litigation is not reasonably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u w:val="single"/>
        </w:rPr>
        <w:t>No Default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(i)No Loan Party nor any Subsidiary is in default under or with respect to any Contractual Obligation that individually or in the aggregate could reasonably be expected to have a Material Adverse Effect.</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(ii)No Default has occurred and is continuing.</w:t>
      </w:r>
    </w:p>
    <w:p>
      <w:pPr>
        <w:pStyle w:val="TextBody"/>
        <w:bidi w:val="0"/>
        <w:spacing w:lineRule="auto" w:line="240" w:before="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u w:val="single"/>
        </w:rPr>
        <w:t>Ownership of Property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1.09</w:t>
      </w:r>
      <w:r>
        <w:rPr>
          <w:rFonts w:ascii="Times New Roman;sans-serif" w:hAnsi="Times New Roman;sans-serif"/>
          <w:b/>
          <w:color w:val="000000"/>
          <w:sz w:val="22"/>
          <w:u w:val="single"/>
        </w:rPr>
        <w:t>Environmental Compliance</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(i)The Loan Parties and their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Loan Parties have reasonably concluded that such Environmental Laws and claims could not, individually or in the aggregate, reasonably be expected to have a Material Adverse Effect.</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(ii)None of the properties currently or formerly owned or operated by any Loan Party or any Subsidiary is listed or proposed for listing on the National Priorities List under CERCLA or on the CERCLIS or any analogous foreign, state or local list or is adjacent to any such property;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or any Subsidiary or, to the best of the knowledge of the Borrower, on any property formerly owned or operated by any Loan Party or any Subsidiary; there is no asbestos or asbestos-containing material on any property currently owned or operated by any Loan Party or any Subsidiary; and Hazardous Materials have not been released, discharged or disposed of on any property currently or formerly owned or operated by any Loan Party or any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(iii)No Loan Party nor any Subsidiary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or any Subsidiary have been disposed of in a manner not reasonably expected to result in material liability to any Loan Party or any Subsidiary.</w:t>
      </w:r>
    </w:p>
    <w:p>
      <w:pPr>
        <w:pStyle w:val="TextBody"/>
        <w:bidi w:val="0"/>
        <w:spacing w:lineRule="auto" w:line="240" w:before="0" w:after="240"/>
        <w:ind w:left="0" w:right="0" w:firstLine="720"/>
        <w:jc w:val="both"/>
        <w:rPr/>
      </w:pPr>
      <w:r>
        <w:rPr>
          <w:rFonts w:ascii="Times New Roman;sans-serif" w:hAnsi="Times New Roman;sans-serif"/>
          <w:b/>
          <w:color w:val="000000"/>
          <w:sz w:val="22"/>
        </w:rPr>
        <w:t>1.j</w:t>
      </w:r>
      <w:r>
        <w:rPr>
          <w:rFonts w:ascii="Times New Roman;sans-serif" w:hAnsi="Times New Roman;sans-serif"/>
          <w:b/>
          <w:color w:val="000000"/>
          <w:sz w:val="22"/>
          <w:u w:val="single"/>
        </w:rPr>
        <w:t>Insurance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The properties of the Loan Parties and their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applicable Loan Party or the applicable Subsidiary operates. The property and general liability insurance coverage of the Loan Parties as in effect on the Closing Date is outlined as to carrier, policy number, expiration date, type, amount and deductibles on </w:t>
      </w:r>
      <w:r>
        <w:rPr>
          <w:rFonts w:ascii="Times New Roman;sans-serif" w:hAnsi="Times New Roman;sans-serif"/>
          <w:b w:val="false"/>
          <w:color w:val="000000"/>
          <w:sz w:val="22"/>
          <w:u w:val="single"/>
        </w:rPr>
        <w:t>Schedule 6.10</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1.k</w:t>
      </w:r>
      <w:r>
        <w:rPr>
          <w:rFonts w:ascii="Times New Roman;sans-serif" w:hAnsi="Times New Roman;sans-serif"/>
          <w:b/>
          <w:color w:val="000000"/>
          <w:sz w:val="22"/>
          <w:u w:val="single"/>
        </w:rPr>
        <w:t>Taxes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Loan Party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No Loan Party nor any Subsidiary thereof is party to any tax sharing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1.l</w:t>
      </w:r>
      <w:r>
        <w:rPr>
          <w:rFonts w:ascii="Times New Roman;sans-serif" w:hAnsi="Times New Roman;sans-serif"/>
          <w:b/>
          <w:color w:val="000000"/>
          <w:sz w:val="22"/>
          <w:u w:val="single"/>
        </w:rPr>
        <w:t>ERISA Compliance</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(i)Each Plan is in compliance in all material respects with the applicable provisions of ERISA, the Internal Revenue Code and other federal or state Laws. Each Plan that is intended to be a qualified plan under Section 401(a) of the Internal Revenue Code has received a favorable determination letter from the IRS (or is eligible to rely on a pre-approved opinion letter)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best knowledge of the Borrower, nothing has occurred that would prevent or cause the loss of such tax-qualified status.</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(ii)There are no pending or, to the knowledge of the Borrower, threatened claims, actions or lawsuits, or action by any Governmental Authority, with respect to any Plan that could be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(iii)Except as could not reasonably be expected to have a Material Adverse Effect: (i) no ERISA Event has occurred, and no Loan Party nor any ERISA Affiliate is aware of any fact, event or circumstance that could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no Loan Party nor any ERISA Affiliate knows of any facts or circumstances that could reasonably be expected to cause the funding target attainment percentage for any such plan to drop below 60% as of the most recent valuation date; (iv) no Loan Party nor any ERISA Affiliate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has incurred any liability to the PBGC other than for the payment of premiums, and there are no premium payments which have become due that are unpaid; (v) no Loan Party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(iv)No Loan Party nor any ERISA Affiliate maintains or contributes to, or has any unsatisfied obligation to contribute to, or liability under, any active or terminated Pension Plan other than Pension Plans not otherwise prohibited by this Agreement.</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(v)The Borrower represents and warrants as of the Seventh Amendment Effective Date that the Borrower is not and will not be using “plan assets” (within the meaning of 29 CFR § 2510.3-101, as modified by Section 3(42) of ERISA) of one or more Benefit Plans in connection with the Loans, the Letters of Credit or the Commitments.</w:t>
      </w:r>
    </w:p>
    <w:p>
      <w:pPr>
        <w:pStyle w:val="TextBody"/>
        <w:bidi w:val="0"/>
        <w:spacing w:lineRule="auto" w:line="240" w:before="0" w:after="240"/>
        <w:ind w:left="0" w:right="0" w:firstLine="720"/>
        <w:jc w:val="both"/>
        <w:rPr/>
      </w:pPr>
      <w:r>
        <w:rPr>
          <w:rFonts w:ascii="Times New Roman;sans-serif" w:hAnsi="Times New Roman;sans-serif"/>
          <w:b/>
          <w:color w:val="000000"/>
          <w:sz w:val="22"/>
        </w:rPr>
        <w:t>1.m</w:t>
      </w:r>
      <w:r>
        <w:rPr>
          <w:rFonts w:ascii="Times New Roman;sans-serif" w:hAnsi="Times New Roman;sans-serif"/>
          <w:b/>
          <w:color w:val="000000"/>
          <w:sz w:val="22"/>
          <w:u w:val="single"/>
        </w:rPr>
        <w:t>Subsidiaries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Schedule 6.13</w:t>
      </w:r>
      <w:r>
        <w:rPr>
          <w:color w:val="000000"/>
        </w:rPr>
        <w:t xml:space="preserve"> </w:t>
      </w:r>
      <w:r>
        <w:rPr>
          <w:rFonts w:ascii="Times New Roman;sans-serif" w:hAnsi="Times New Roman;sans-serif"/>
          <w:b w:val="false"/>
          <w:color w:val="000000"/>
          <w:sz w:val="22"/>
        </w:rPr>
        <w:t>is a complete and accurate list as of the Seventh Amendment Effective Date of each Subsidiary of any Loan Party, together with (a) jurisdiction of organization, (b) with respect to each Subsidiary other than Excluded Subsidiaries, number of shares of each class of Equity Interests outstanding, (c) number and percentage of outstanding shares of each class owned (directly or indirectly) by any Loan Party or any Subsidiary and (d) an indication as to whether such Subsidiary is (i) an Excluded Subsidiary, a Limited Guarantor, and/or a Regulated Subsidiary, and (ii) permitted by applicable Law to have its Equity Interests pledged as Collateral. The outstanding Equity Interests of each Subsidiary of any Loan Party are validly issued, fully paid and non-assessable.</w:t>
      </w:r>
    </w:p>
    <w:p>
      <w:pPr>
        <w:pStyle w:val="TextBody"/>
        <w:bidi w:val="0"/>
        <w:spacing w:lineRule="auto" w:line="240" w:before="0" w:after="240"/>
        <w:ind w:left="0" w:right="0" w:firstLine="720"/>
        <w:jc w:val="both"/>
        <w:rPr/>
      </w:pPr>
      <w:r>
        <w:rPr>
          <w:rFonts w:ascii="Times New Roman;sans-serif" w:hAnsi="Times New Roman;sans-serif"/>
          <w:b/>
          <w:color w:val="000000"/>
          <w:sz w:val="22"/>
        </w:rPr>
        <w:t>1.n</w:t>
      </w:r>
      <w:r>
        <w:rPr>
          <w:rFonts w:ascii="Times New Roman;sans-serif" w:hAnsi="Times New Roman;sans-serif"/>
          <w:b/>
          <w:color w:val="000000"/>
          <w:sz w:val="22"/>
          <w:u w:val="single"/>
        </w:rPr>
        <w:t>Margin Regulations; Investment Company Act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w:t>
      </w:r>
      <w:r>
        <w:rPr>
          <w:rFonts w:ascii="Times New Roman;sans-serif" w:hAnsi="Times New Roman;sans-serif"/>
          <w:b w:val="false"/>
          <w:color w:val="000000"/>
          <w:sz w:val="22"/>
          <w:u w:val="single"/>
        </w:rPr>
        <w:t>Section 8.01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8.05</w:t>
      </w:r>
      <w:r>
        <w:rPr>
          <w:color w:val="000000"/>
        </w:rPr>
        <w:t xml:space="preserve"> </w:t>
      </w:r>
      <w:r>
        <w:rPr>
          <w:rFonts w:ascii="Times New Roman;sans-serif" w:hAnsi="Times New Roman;sans-serif"/>
          <w:b w:val="false"/>
          <w:color w:val="000000"/>
          <w:sz w:val="22"/>
        </w:rPr>
        <w:t xml:space="preserve">or subject to any restriction contained in any agreement or instrument between the Borrower and any Lender or any Affiliate of any Lender relating to Indebtedness and within the scope of </w:t>
      </w:r>
      <w:r>
        <w:rPr>
          <w:rFonts w:ascii="Times New Roman;sans-serif" w:hAnsi="Times New Roman;sans-serif"/>
          <w:b w:val="false"/>
          <w:color w:val="000000"/>
          <w:sz w:val="22"/>
          <w:u w:val="single"/>
        </w:rPr>
        <w:t>Section 9.01(e)</w:t>
      </w:r>
      <w:r>
        <w:rPr>
          <w:color w:val="000000"/>
        </w:rPr>
        <w:t xml:space="preserve"> </w:t>
      </w:r>
      <w:r>
        <w:rPr>
          <w:rFonts w:ascii="Times New Roman;sans-serif" w:hAnsi="Times New Roman;sans-serif"/>
          <w:b w:val="false"/>
          <w:color w:val="000000"/>
          <w:sz w:val="22"/>
        </w:rPr>
        <w:t>will be margin stock.</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(ii)None of the Borrower, any Person Controlling the Borrower, or any Subsidiary is or is required to be registered as an “investment company” under the Investment Company Act of 1940.</w:t>
      </w:r>
    </w:p>
    <w:p>
      <w:pPr>
        <w:pStyle w:val="TextBody"/>
        <w:bidi w:val="0"/>
        <w:spacing w:lineRule="auto" w:line="240" w:before="0" w:after="240"/>
        <w:ind w:left="0" w:right="0" w:firstLine="720"/>
        <w:jc w:val="both"/>
        <w:rPr/>
      </w:pPr>
      <w:r>
        <w:rPr>
          <w:rFonts w:ascii="Times New Roman;sans-serif" w:hAnsi="Times New Roman;sans-serif"/>
          <w:b/>
          <w:color w:val="000000"/>
          <w:sz w:val="22"/>
        </w:rPr>
        <w:t>1.o</w:t>
      </w:r>
      <w:r>
        <w:rPr>
          <w:rFonts w:ascii="Times New Roman;sans-serif" w:hAnsi="Times New Roman;sans-serif"/>
          <w:b/>
          <w:color w:val="000000"/>
          <w:sz w:val="22"/>
          <w:u w:val="single"/>
        </w:rPr>
        <w:t>Disclosure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taken as a whole and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with respect to projected financial information, the Borrower represents only that such information was prepared in good faith based upon assumptions believed to be reasonable at the time. As of the Seventh Amendment Effective Date, the information included in any Beneficial Ownership Certification (if required) delivered on or prior to the Seventh Amendment Effective Date is true and correct in all respects.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1.p</w:t>
      </w:r>
      <w:r>
        <w:rPr>
          <w:rFonts w:ascii="Times New Roman;sans-serif" w:hAnsi="Times New Roman;sans-serif"/>
          <w:b/>
          <w:color w:val="000000"/>
          <w:sz w:val="22"/>
          <w:u w:val="single"/>
        </w:rPr>
        <w:t>Compliance with Laws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Loan Party and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1.q</w:t>
      </w:r>
      <w:r>
        <w:rPr>
          <w:rFonts w:ascii="Times New Roman;sans-serif" w:hAnsi="Times New Roman;sans-serif"/>
          <w:b/>
          <w:color w:val="000000"/>
          <w:sz w:val="22"/>
          <w:u w:val="single"/>
        </w:rPr>
        <w:t>Intellectual Property; Licenses, Etc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Each Loan Party and each Subsidiary owns, or possesses the legal right to use, all of the trademarks, service marks, trade names, copyrights, patents, patent rights, franchises, licenses and other intellectual property rights (collectively, “</w:t>
      </w:r>
      <w:r>
        <w:rPr>
          <w:rFonts w:ascii="Times New Roman;sans-serif" w:hAnsi="Times New Roman;sans-serif"/>
          <w:b w:val="false"/>
          <w:color w:val="000000"/>
          <w:sz w:val="22"/>
          <w:u w:val="single"/>
        </w:rPr>
        <w:t>IP Rights</w:t>
      </w:r>
      <w:r>
        <w:rPr>
          <w:color w:val="000000"/>
        </w:rPr>
        <w:t>”</w:t>
      </w:r>
      <w:r>
        <w:rPr>
          <w:rFonts w:ascii="Times New Roman;sans-serif" w:hAnsi="Times New Roman;sans-serif"/>
          <w:b w:val="false"/>
          <w:color w:val="000000"/>
          <w:sz w:val="22"/>
        </w:rPr>
        <w:t xml:space="preserve">) that are reasonably necessary for the operation of their respective businesses, except to the extent that a failure to own or possess such legal right to use would not reasonably be expected to have a Material Adverse Effect. Set forth on </w:t>
      </w:r>
      <w:r>
        <w:rPr>
          <w:rFonts w:ascii="Times New Roman;sans-serif" w:hAnsi="Times New Roman;sans-serif"/>
          <w:b w:val="false"/>
          <w:color w:val="000000"/>
          <w:sz w:val="22"/>
          <w:u w:val="single"/>
        </w:rPr>
        <w:t>Schedule 6.17</w:t>
      </w:r>
      <w:r>
        <w:rPr>
          <w:color w:val="000000"/>
        </w:rPr>
        <w:t xml:space="preserve"> </w:t>
      </w:r>
      <w:r>
        <w:rPr>
          <w:rFonts w:ascii="Times New Roman;sans-serif" w:hAnsi="Times New Roman;sans-serif"/>
          <w:b w:val="false"/>
          <w:color w:val="000000"/>
          <w:sz w:val="22"/>
        </w:rPr>
        <w:t xml:space="preserve">is a list of all IP Rights registered or pending registration with the United States Copyright Office or the United States Patent and Trademark Office and owned by each Loan Party as of the Seventh Amendment Effective Date. Except for such claims and infringements that could not reasonably be expected to have a Material Adverse Effect, no claim has been asserted and is pending by any Person challenging or questioning the use of any IP Rights or the validity or effectiveness of any IP Rights, nor does the Borrower know of any such claim, and, to the knowledge of the Responsible Officers of the Borrower, the use of any IP Rights by any Loan Party or any Subsidiary or the granting of a right or a license in respect of any IP Rights from any Loan Party or any Subsidiary does not infringe on the rights of any Person. As of the Seventh Amendment Effective Date, none of the IP Rights owned by any Loan Party is subject to any licensing agreement or similar arrangement except as set forth on </w:t>
      </w:r>
      <w:r>
        <w:rPr>
          <w:rFonts w:ascii="Times New Roman;sans-serif" w:hAnsi="Times New Roman;sans-serif"/>
          <w:b w:val="false"/>
          <w:color w:val="000000"/>
          <w:sz w:val="22"/>
          <w:u w:val="single"/>
        </w:rPr>
        <w:t>Schedule 6.17</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1.r</w:t>
      </w:r>
      <w:r>
        <w:rPr>
          <w:rFonts w:ascii="Times New Roman;sans-serif" w:hAnsi="Times New Roman;sans-serif"/>
          <w:b/>
          <w:color w:val="000000"/>
          <w:sz w:val="22"/>
          <w:u w:val="single"/>
        </w:rPr>
        <w:t>Solvency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is Solvent, and the Loan Parties are Solvent on a consolidated basis.</w:t>
      </w:r>
    </w:p>
    <w:p>
      <w:pPr>
        <w:pStyle w:val="TextBody"/>
        <w:bidi w:val="0"/>
        <w:spacing w:lineRule="auto" w:line="240" w:before="0" w:after="240"/>
        <w:ind w:left="0" w:right="0" w:firstLine="720"/>
        <w:jc w:val="both"/>
        <w:rPr/>
      </w:pPr>
      <w:r>
        <w:rPr>
          <w:rFonts w:ascii="Times New Roman;sans-serif" w:hAnsi="Times New Roman;sans-serif"/>
          <w:b/>
          <w:color w:val="000000"/>
          <w:sz w:val="22"/>
        </w:rPr>
        <w:t>1.s</w:t>
      </w:r>
      <w:r>
        <w:rPr>
          <w:rFonts w:ascii="Times New Roman;sans-serif" w:hAnsi="Times New Roman;sans-serif"/>
          <w:b/>
          <w:color w:val="000000"/>
          <w:sz w:val="22"/>
          <w:u w:val="single"/>
        </w:rPr>
        <w:t>Perfection of Security Interests in the Collateral</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Collateral Documents will, upon the execution and delivery thereof, be effective to create valid security interests in, and Liens on, the Collateral purported to be covered thereby and described therein, which security interests and Liens will be perfected security interests and Liens, prior to all other Liens other than Permitted Liens, upon the timely and proper filings, deliveries, notations and other actions contemplated by the Collateral Documents (to the extent that (a) such security interests and Liens can be perfected by such filings, deliveries, notations and other actions contemplated by the Collateral Documents and (b) such actions are required to be taken with respect to such Collateral by the terms of the Collateral Documents).</w:t>
      </w:r>
    </w:p>
    <w:p>
      <w:pPr>
        <w:pStyle w:val="TextBody"/>
        <w:bidi w:val="0"/>
        <w:spacing w:lineRule="auto" w:line="240" w:before="0" w:after="240"/>
        <w:ind w:left="0" w:right="0" w:firstLine="720"/>
        <w:jc w:val="both"/>
        <w:rPr/>
      </w:pPr>
      <w:r>
        <w:rPr>
          <w:rFonts w:ascii="Times New Roman;sans-serif" w:hAnsi="Times New Roman;sans-serif"/>
          <w:b/>
          <w:color w:val="000000"/>
          <w:sz w:val="22"/>
        </w:rPr>
        <w:t>1.t</w:t>
      </w:r>
      <w:r>
        <w:rPr>
          <w:rFonts w:ascii="Times New Roman;sans-serif" w:hAnsi="Times New Roman;sans-serif"/>
          <w:b/>
          <w:color w:val="000000"/>
          <w:sz w:val="22"/>
          <w:u w:val="single"/>
        </w:rPr>
        <w:t>Business Locations; Taxpayer Identification Number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Set forth on </w:t>
      </w:r>
      <w:r>
        <w:rPr>
          <w:rFonts w:ascii="Times New Roman;sans-serif" w:hAnsi="Times New Roman;sans-serif"/>
          <w:b w:val="false"/>
          <w:color w:val="000000"/>
          <w:sz w:val="22"/>
          <w:u w:val="single"/>
        </w:rPr>
        <w:t>Schedule 6.20(a)</w:t>
      </w:r>
      <w:r>
        <w:rPr>
          <w:color w:val="000000"/>
        </w:rPr>
        <w:t xml:space="preserve"> </w:t>
      </w:r>
      <w:r>
        <w:rPr>
          <w:rFonts w:ascii="Times New Roman;sans-serif" w:hAnsi="Times New Roman;sans-serif"/>
          <w:b w:val="false"/>
          <w:color w:val="000000"/>
          <w:sz w:val="22"/>
        </w:rPr>
        <w:t xml:space="preserve">is a list of all real property located in the United States that is owned or leased by any Loan Party as of the Seventh Amendment Effective Date. Set forth on </w:t>
      </w:r>
      <w:r>
        <w:rPr>
          <w:rFonts w:ascii="Times New Roman;sans-serif" w:hAnsi="Times New Roman;sans-serif"/>
          <w:b w:val="false"/>
          <w:color w:val="000000"/>
          <w:sz w:val="22"/>
          <w:u w:val="single"/>
        </w:rPr>
        <w:t>Schedule 6.20(b)</w:t>
      </w:r>
      <w:r>
        <w:rPr>
          <w:color w:val="000000"/>
        </w:rPr>
        <w:t xml:space="preserve"> </w:t>
      </w:r>
      <w:r>
        <w:rPr>
          <w:rFonts w:ascii="Times New Roman;sans-serif" w:hAnsi="Times New Roman;sans-serif"/>
          <w:b w:val="false"/>
          <w:color w:val="000000"/>
          <w:sz w:val="22"/>
        </w:rPr>
        <w:t xml:space="preserve">is a list of all locations where any tangible personal property of any Loan Party is located as of the Seventh Amendment Effective Date. Set forth on </w:t>
      </w:r>
      <w:r>
        <w:rPr>
          <w:rFonts w:ascii="Times New Roman;sans-serif" w:hAnsi="Times New Roman;sans-serif"/>
          <w:b w:val="false"/>
          <w:color w:val="000000"/>
          <w:sz w:val="22"/>
          <w:u w:val="single"/>
        </w:rPr>
        <w:t>Schedule 6.20(c)</w:t>
      </w:r>
      <w:r>
        <w:rPr>
          <w:color w:val="000000"/>
        </w:rPr>
        <w:t xml:space="preserve"> </w:t>
      </w:r>
      <w:r>
        <w:rPr>
          <w:rFonts w:ascii="Times New Roman;sans-serif" w:hAnsi="Times New Roman;sans-serif"/>
          <w:b w:val="false"/>
          <w:color w:val="000000"/>
          <w:sz w:val="22"/>
        </w:rPr>
        <w:t xml:space="preserve">is the chief executive office, exact legal name, U.S. taxpayer identification number and organizational identification number of each Loan Party as of the Seventh Amendment Effective Date. Except as set forth on </w:t>
      </w:r>
      <w:r>
        <w:rPr>
          <w:rFonts w:ascii="Times New Roman;sans-serif" w:hAnsi="Times New Roman;sans-serif"/>
          <w:b w:val="false"/>
          <w:color w:val="000000"/>
          <w:sz w:val="22"/>
          <w:u w:val="single"/>
        </w:rPr>
        <w:t>Schedule 6.20(d)</w:t>
      </w:r>
      <w:r>
        <w:rPr>
          <w:rFonts w:ascii="Times New Roman;sans-serif" w:hAnsi="Times New Roman;sans-serif"/>
          <w:b w:val="false"/>
          <w:color w:val="000000"/>
          <w:sz w:val="22"/>
        </w:rPr>
        <w:t xml:space="preserve">, no Loan Party has during the five years preceding the Seventh Amendment Effective Date (a) changed its legal name, (b) changed its state of formation or (c) been party to a merger, consolidation or other change in structure. Set forth on </w:t>
      </w:r>
      <w:r>
        <w:rPr>
          <w:rFonts w:ascii="Times New Roman;sans-serif" w:hAnsi="Times New Roman;sans-serif"/>
          <w:b w:val="false"/>
          <w:color w:val="000000"/>
          <w:sz w:val="22"/>
          <w:u w:val="single"/>
        </w:rPr>
        <w:t>Schedule 6.20(e)</w:t>
      </w:r>
      <w:r>
        <w:rPr>
          <w:color w:val="000000"/>
        </w:rPr>
        <w:t xml:space="preserve"> </w:t>
      </w:r>
      <w:r>
        <w:rPr>
          <w:rFonts w:ascii="Times New Roman;sans-serif" w:hAnsi="Times New Roman;sans-serif"/>
          <w:b w:val="false"/>
          <w:color w:val="000000"/>
          <w:sz w:val="22"/>
        </w:rPr>
        <w:t>is a list of each deposit and investment account of each Loan Party as of the Seventh Amendment Effective Date.</w:t>
      </w:r>
    </w:p>
    <w:p>
      <w:pPr>
        <w:pStyle w:val="TextBody"/>
        <w:bidi w:val="0"/>
        <w:spacing w:lineRule="auto" w:line="240" w:before="0" w:after="240"/>
        <w:ind w:left="0" w:right="0" w:firstLine="720"/>
        <w:jc w:val="both"/>
        <w:rPr/>
      </w:pPr>
      <w:r>
        <w:rPr>
          <w:rFonts w:ascii="Times New Roman;sans-serif" w:hAnsi="Times New Roman;sans-serif"/>
          <w:b/>
          <w:color w:val="000000"/>
          <w:sz w:val="22"/>
        </w:rPr>
        <w:t>1.u</w:t>
      </w:r>
      <w:r>
        <w:rPr>
          <w:rFonts w:ascii="Times New Roman;sans-serif" w:hAnsi="Times New Roman;sans-serif"/>
          <w:b/>
          <w:color w:val="000000"/>
          <w:sz w:val="22"/>
          <w:u w:val="single"/>
        </w:rPr>
        <w:t>Labor Matters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There are no collective bargaining agreements or Multiemployer Plans covering the employees of any Loan Party or any Subsidiary as of the Seventh Amendment Effective Date. No Loan Party nor any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Subsidiary has suffered any strikes, walkouts, work stoppages or other material labor difficulty in the five years preceding the Seventh Amendment Effective Date.</w:t>
      </w:r>
    </w:p>
    <w:p>
      <w:pPr>
        <w:pStyle w:val="TextBody"/>
        <w:bidi w:val="0"/>
        <w:spacing w:lineRule="auto" w:line="240" w:before="0" w:after="240"/>
        <w:ind w:left="0" w:right="0" w:firstLine="720"/>
        <w:jc w:val="both"/>
        <w:rPr/>
      </w:pPr>
      <w:r>
        <w:rPr>
          <w:rFonts w:ascii="Times New Roman;sans-serif" w:hAnsi="Times New Roman;sans-serif"/>
          <w:b/>
          <w:color w:val="000000"/>
          <w:sz w:val="22"/>
        </w:rPr>
        <w:t>1.v</w:t>
      </w:r>
      <w:r>
        <w:rPr>
          <w:rFonts w:ascii="Times New Roman;sans-serif" w:hAnsi="Times New Roman;sans-serif"/>
          <w:b/>
          <w:color w:val="000000"/>
          <w:sz w:val="22"/>
          <w:u w:val="single"/>
        </w:rPr>
        <w:t>OFAC; Anti-Corruption</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OFAC</w:t>
      </w:r>
      <w:r>
        <w:rPr>
          <w:rFonts w:ascii="Times New Roman;sans-serif" w:hAnsi="Times New Roman;sans-serif"/>
          <w:b w:val="false"/>
          <w:color w:val="000000"/>
          <w:sz w:val="22"/>
        </w:rPr>
        <w:t>. No Loan Party, nor any Subsidiary, nor, to the knowledge of the Loan Parties, any director, officer, employee, agent, affiliate or representative thereof, is an individual or entity that is, or is owned or controlled by one or more individuals or entities that is (i) currently the subject or target of any Sanctions, (ii) included on OFAC’s List of Specially Designated Nationals, His Majesty’s Treasury’s Consolidated List of Financial Sanctions Targets and the Investment Ban List, or any similar list enforced by any other relevant sanctions authority or (iii) located, organized or resident in a Designated Jurisdiction. The Borrower and its Subsidiaries have conducted their businesses in compliance in all material respects with all applicable Sanctions and have instituted and maintained policies and procedures reasonably designated to promote and achieve compliance with such Sanctions.</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Anti-Corruption Laws</w:t>
      </w:r>
      <w:r>
        <w:rPr>
          <w:rFonts w:ascii="Times New Roman;sans-serif" w:hAnsi="Times New Roman;sans-serif"/>
          <w:b w:val="false"/>
          <w:color w:val="000000"/>
          <w:sz w:val="22"/>
        </w:rPr>
        <w:t>. The Loan Parties and their Subsidiaries have conducted their business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pStyle w:val="TextBody"/>
        <w:bidi w:val="0"/>
        <w:spacing w:lineRule="auto" w:line="240" w:before="0" w:after="240"/>
        <w:ind w:left="0" w:right="0" w:firstLine="720"/>
        <w:jc w:val="both"/>
        <w:rPr/>
      </w:pPr>
      <w:r>
        <w:rPr>
          <w:rFonts w:ascii="Times New Roman;sans-serif" w:hAnsi="Times New Roman;sans-serif"/>
          <w:b/>
          <w:color w:val="000000"/>
          <w:sz w:val="22"/>
        </w:rPr>
        <w:t>1.w</w:t>
      </w:r>
      <w:r>
        <w:rPr>
          <w:rFonts w:ascii="Times New Roman;sans-serif" w:hAnsi="Times New Roman;sans-serif"/>
          <w:b/>
          <w:color w:val="000000"/>
          <w:sz w:val="22"/>
          <w:u w:val="single"/>
        </w:rPr>
        <w:t>Affected Financial Institution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 Loan Party is an Affected Financial Institution.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1.x</w:t>
      </w:r>
      <w:r>
        <w:rPr>
          <w:rFonts w:ascii="Times New Roman;sans-serif" w:hAnsi="Times New Roman;sans-serif"/>
          <w:b/>
          <w:color w:val="000000"/>
          <w:sz w:val="22"/>
          <w:u w:val="single"/>
        </w:rPr>
        <w:t>Covered Entities</w:t>
      </w:r>
      <w:r>
        <w:rPr>
          <w:rFonts w:ascii="Times New Roman;sans-serif" w:hAnsi="Times New Roman;sans-serif"/>
          <w:b w:val="false"/>
          <w:color w:val="000000"/>
          <w:sz w:val="22"/>
        </w:rPr>
        <w:t>.</w:t>
      </w:r>
    </w:p>
    <w:p>
      <w:pPr>
        <w:pStyle w:val="TextBody"/>
        <w:bidi w:val="0"/>
        <w:spacing w:lineRule="auto" w:line="240" w:before="0" w:after="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 Loan Party is a Covered Entity.</w:t>
      </w:r>
    </w:p>
    <w:p>
      <w:pPr>
        <w:pStyle w:val="TextBody"/>
        <w:bidi w:val="0"/>
        <w:spacing w:lineRule="auto" w:line="240" w:before="0" w:after="240"/>
        <w:ind w:left="0" w:right="0" w:firstLine="720"/>
        <w:jc w:val="both"/>
        <w:rPr/>
      </w:pPr>
      <w:r>
        <w:rPr>
          <w:rFonts w:ascii="Times New Roman;sans-serif" w:hAnsi="Times New Roman;sans-serif"/>
          <w:b/>
          <w:color w:val="000000"/>
          <w:sz w:val="22"/>
        </w:rPr>
        <w:t>1.y</w:t>
      </w:r>
      <w:r>
        <w:rPr>
          <w:rFonts w:ascii="Times New Roman;sans-serif" w:hAnsi="Times New Roman;sans-serif"/>
          <w:b/>
          <w:color w:val="000000"/>
          <w:sz w:val="22"/>
          <w:u w:val="single"/>
        </w:rPr>
        <w:t>Designated Senior Indebtedness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Obligations constitute “Designated Senior Indebtedness” (or any similar designation under, and as defined in, the Second Lien Debt Documents or any documentation governing Indebtedness subject to a Subordination Agreement).</w:t>
      </w:r>
    </w:p>
    <w:p>
      <w:pPr>
        <w:pStyle w:val="TextBody"/>
        <w:bidi w:val="0"/>
        <w:spacing w:lineRule="auto" w:line="240" w:before="0" w:after="240"/>
        <w:jc w:val="center"/>
        <w:rPr/>
      </w:pPr>
      <w:r>
        <w:rPr>
          <w:rFonts w:ascii="Times New Roman;sans-serif" w:hAnsi="Times New Roman;sans-serif"/>
          <w:b/>
          <w:color w:val="000000"/>
          <w:sz w:val="22"/>
        </w:rPr>
        <w:t>Article 7.</w:t>
      </w:r>
      <w:r>
        <w:rPr>
          <w:rFonts w:ascii="Times New Roman;sans-serif" w:hAnsi="Times New Roman;sans-serif"/>
          <w:b/>
          <w:color w:val="000000"/>
          <w:sz w:val="22"/>
        </w:rPr>
        <w:br/>
        <w:br/>
        <w:t>AFFIRMATIVE COVENANTS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So long as any Lender shall have any Commitment hereunder, any Loan or other Obligation (other than contingent indemnification obligations as to which no claim has been asserted and obligations and liabilities under Secured Cash Management Agreements and Secured Hedge Agreements as to which arrangements satisfactory to the applicable Cash Management Bank and Hedge Bank shall have been made) hereunder shall remain unpaid or unsatisfied, or any Letter of Credit (other than Letters of Credit, the L/C Obligations for which have been Cash Collateralized) shall remain outstanding, the Borrower shall and shall cause each Loan Party and (except in the case of the covenants set forth in </w:t>
      </w:r>
      <w:r>
        <w:rPr>
          <w:rFonts w:ascii="Times New Roman;sans-serif" w:hAnsi="Times New Roman;sans-serif"/>
          <w:b w:val="false"/>
          <w:color w:val="000000"/>
          <w:sz w:val="22"/>
          <w:u w:val="single"/>
        </w:rPr>
        <w:t>Sections 7.01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7.11</w:t>
      </w:r>
      <w:r>
        <w:rPr>
          <w:rFonts w:ascii="Times New Roman;sans-serif" w:hAnsi="Times New Roman;sans-serif"/>
          <w:b w:val="false"/>
          <w:color w:val="000000"/>
          <w:sz w:val="22"/>
        </w:rPr>
        <w:t>) each other Subsidiary to:</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Financial Statements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Deliver to the Administrative Agent (for further distribution to each Lender), in form and detail satisfactory to the Administrative Agent and the Required Lenders:</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(i)as soon as available, but in any event within ninety days after the end of each fiscal year of the Borrower, a consolidated balance sheet of the Borrower and its Subsidiaries as at the end of such fiscal year, and the related consolidated statements of income or operations, changes in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(ii)as soon as available, but in any event within forty-five days after the end of each of the first three fiscal quarters of each fiscal year of the Borrower (commencing with the fiscal quarter ending December 31, 2018), a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shareholders’ equity, and cash flows for such fiscal quarter and the portion of the Borrower’s fiscal year then ended, in each case setting forth in comparative form, as applicable, the figures for the corresponding fiscal quarter of the previous fiscal year and the corresponding portion of the previous fiscal year, all in reasonable detail and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w:t>
      </w:r>
    </w:p>
    <w:p>
      <w:pPr>
        <w:pStyle w:val="TextBody"/>
        <w:bidi w:val="0"/>
        <w:spacing w:lineRule="auto" w:line="240" w:before="0" w:after="240"/>
        <w:jc w:val="both"/>
        <w:rPr/>
      </w:pPr>
      <w:r>
        <w:rPr>
          <w:rFonts w:ascii="Times New Roman;sans-serif" w:hAnsi="Times New Roman;sans-serif"/>
          <w:b w:val="false"/>
          <w:color w:val="000000"/>
          <w:sz w:val="22"/>
        </w:rPr>
        <w:t xml:space="preserve">As to any information contained in materials furnished pursuant to </w:t>
      </w:r>
      <w:r>
        <w:rPr>
          <w:rFonts w:ascii="Times New Roman;sans-serif" w:hAnsi="Times New Roman;sans-serif"/>
          <w:b w:val="false"/>
          <w:color w:val="000000"/>
          <w:sz w:val="22"/>
          <w:u w:val="single"/>
        </w:rPr>
        <w:t>Section 7.02(c)</w:t>
      </w:r>
      <w:r>
        <w:rPr>
          <w:rFonts w:ascii="Times New Roman;sans-serif" w:hAnsi="Times New Roman;sans-serif"/>
          <w:b w:val="false"/>
          <w:color w:val="000000"/>
          <w:sz w:val="22"/>
        </w:rPr>
        <w:t xml:space="preserve">, the Borrower shall not be separately required to furnish such information under </w:t>
      </w:r>
      <w:r>
        <w:rPr>
          <w:rFonts w:ascii="Times New Roman;sans-serif" w:hAnsi="Times New Roman;sans-serif"/>
          <w:b w:val="false"/>
          <w:color w:val="000000"/>
          <w:sz w:val="22"/>
          <w:u w:val="single"/>
        </w:rPr>
        <w:t>Section 7.01(a)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but the foregoing shall not be in derogation of the obligation of the Borrower to furnish the information and materials described in </w:t>
      </w:r>
      <w:r>
        <w:rPr>
          <w:rFonts w:ascii="Times New Roman;sans-serif" w:hAnsi="Times New Roman;sans-serif"/>
          <w:b w:val="false"/>
          <w:color w:val="000000"/>
          <w:sz w:val="22"/>
          <w:u w:val="single"/>
        </w:rPr>
        <w:t>Section 7.01(a)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above at the times specified therein.</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Certificates; Other Information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Deliver to the Administrative Agent (for further distribution to each Lender), in form and detail reasonably satisfactory to the Administrative Agent and the Required Lenders:</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(i)concurrently with the delivery of the financial statements referred to in </w:t>
      </w:r>
      <w:r>
        <w:rPr>
          <w:rFonts w:ascii="Times New Roman;sans-serif" w:hAnsi="Times New Roman;sans-serif"/>
          <w:b w:val="false"/>
          <w:color w:val="000000"/>
          <w:sz w:val="22"/>
          <w:u w:val="single"/>
        </w:rPr>
        <w:t>Sections 7.01(a)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 duly completed Compliance Certificate signed by the chief executive officer, chief financial officer, treasurer or controller of the Borrower which shall include such supplements to </w:t>
      </w:r>
      <w:r>
        <w:rPr>
          <w:rFonts w:ascii="Times New Roman;sans-serif" w:hAnsi="Times New Roman;sans-serif"/>
          <w:b w:val="false"/>
          <w:color w:val="000000"/>
          <w:sz w:val="22"/>
          <w:u w:val="single"/>
        </w:rPr>
        <w:t>Schedules 6.13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6.20(a)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6.20(b)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6.20(c)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6.20(d)</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6.20(e)</w:t>
      </w:r>
      <w:r>
        <w:rPr>
          <w:color w:val="000000"/>
        </w:rPr>
        <w:t xml:space="preserve"> </w:t>
      </w:r>
      <w:r>
        <w:rPr>
          <w:rFonts w:ascii="Times New Roman;sans-serif" w:hAnsi="Times New Roman;sans-serif"/>
          <w:b w:val="false"/>
          <w:color w:val="000000"/>
          <w:sz w:val="22"/>
        </w:rPr>
        <w:t>and Schedule 1(a) to the Security Agreement, as are necessary such that, as supplemented, such Schedules would be accurate and complete in all material respects as of the date of such Compliance Certificate (which delivery may, unless the Administrative Agent, or a Lender requests executed originals, be by electronic communication including fax or email and shall be deemed to be an original authentic counterpart thereof for all purposes);</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(ii)not later than 75 days after the beginning of each fiscal year of the Borrower, commencing with the fiscal year beginning October 1, 2019, a budget of the Borrower and its Subsidiaries containing, among other things, pro forma financial statements for each quarter of such fiscal year;</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(iii)promptly after the same are available, copies of each annual report, proxy or financial statement or other report or communication sent to the equityholders of any Loan Party or any Subsidiary, and copies of all annual, regular, periodic and special reports and registration statements which a Loan Party or any Subsidiary may file or be required to file with the SEC under Section 13 or 15(d) of the Securities Exchange Act of 1934, and not otherwise required to be delivered to the Administrative Agent pursuant hereto;</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(iv)promptly after any request by the Administrative Agent or any Lender, copies of any detailed audit reports, management letters or recommendations submitted to the board of directors (or the audit committee of the board of directors) of the Borrower by independent accountants in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connection with the accounts or books of the Borrower or any Subsidiary, or any audit of any of them;</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 xml:space="preserve">(v)promptly after the furnishing thereof, copies of any statement or report furnished to any holder of debt securities of any Loan Party or any Subsidiary in excess of the Threshold Amount pursuant to the terms of any indenture, loan or credit or similar agreement and not otherwise required to be furnished to the Lenders pursuant to </w:t>
      </w:r>
      <w:r>
        <w:rPr>
          <w:rFonts w:ascii="Times New Roman;sans-serif" w:hAnsi="Times New Roman;sans-serif"/>
          <w:b w:val="false"/>
          <w:color w:val="000000"/>
          <w:sz w:val="22"/>
          <w:u w:val="single"/>
        </w:rPr>
        <w:t>Section 7.01</w:t>
      </w:r>
      <w:r>
        <w:rPr>
          <w:color w:val="000000"/>
        </w:rPr>
        <w:t xml:space="preserve"> </w:t>
      </w:r>
      <w:r>
        <w:rPr>
          <w:rFonts w:ascii="Times New Roman;sans-serif" w:hAnsi="Times New Roman;sans-serif"/>
          <w:b w:val="false"/>
          <w:color w:val="000000"/>
          <w:sz w:val="22"/>
        </w:rPr>
        <w:t xml:space="preserve">or any other clause of this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(vi)promptly, and in any event within five Business Days after receipt thereof by any Loan Party or any Subsidiary thereof, copies of any written notice or other correspondence received from the SEC (or comparable agency in any applicable non-U.S. jurisdiction) concerning any investigation or possible investigation by such agency regarding financial or other operational results of any Loan Party or any Subsidiary thereof;</w:t>
      </w:r>
    </w:p>
    <w:p>
      <w:pPr>
        <w:pStyle w:val="TextBody"/>
        <w:bidi w:val="0"/>
        <w:spacing w:lineRule="auto" w:line="240" w:before="0" w:after="240"/>
        <w:ind w:left="0" w:right="0" w:firstLine="342"/>
        <w:jc w:val="both"/>
        <w:rPr>
          <w:rFonts w:ascii="Times New Roman;sans-serif" w:hAnsi="Times New Roman;sans-serif"/>
          <w:b w:val="false"/>
          <w:color w:val="000000"/>
          <w:sz w:val="22"/>
        </w:rPr>
      </w:pPr>
      <w:r>
        <w:rPr>
          <w:rFonts w:ascii="Times New Roman;sans-serif" w:hAnsi="Times New Roman;sans-serif"/>
          <w:b w:val="false"/>
          <w:color w:val="000000"/>
          <w:sz w:val="22"/>
        </w:rPr>
        <w:t>(vii)promptly following any request therefor, information and documentation reasonably requested by the Administrative Agent or any Lender for purposes of compliance with applicable “know your customer” requirements under the PATRIOT Act, the Beneficial Ownership Regulation or other applicable anti-money laundering laws; and</w:t>
      </w:r>
    </w:p>
    <w:p>
      <w:pPr>
        <w:pStyle w:val="TextBody"/>
        <w:bidi w:val="0"/>
        <w:spacing w:lineRule="auto" w:line="240" w:before="0" w:after="240"/>
        <w:ind w:left="0" w:right="0" w:firstLine="281"/>
        <w:jc w:val="both"/>
        <w:rPr>
          <w:rFonts w:ascii="Times New Roman;sans-serif" w:hAnsi="Times New Roman;sans-serif"/>
          <w:b w:val="false"/>
          <w:color w:val="000000"/>
          <w:sz w:val="22"/>
        </w:rPr>
      </w:pPr>
      <w:r>
        <w:rPr>
          <w:rFonts w:ascii="Times New Roman;sans-serif" w:hAnsi="Times New Roman;sans-serif"/>
          <w:b w:val="false"/>
          <w:color w:val="000000"/>
          <w:sz w:val="22"/>
        </w:rPr>
        <w:t>(viii)promptly, such additional information regarding the business, financial or corporate affairs of any Loan Party or any Subsidiary, or compliance with the terms of the Loan Documents, as the Administrative Agent or any Lender through the Administrative Agent may from time to time reasonably request.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Documents required to be delivered pursuant to </w:t>
      </w:r>
      <w:r>
        <w:rPr>
          <w:rFonts w:ascii="Times New Roman;sans-serif" w:hAnsi="Times New Roman;sans-serif"/>
          <w:b w:val="false"/>
          <w:color w:val="000000"/>
          <w:sz w:val="22"/>
          <w:u w:val="single"/>
        </w:rPr>
        <w:t>Section 7.01(a)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7.02(c)</w:t>
      </w:r>
      <w:r>
        <w:rPr>
          <w:color w:val="000000"/>
        </w:rPr>
        <w:t xml:space="preserve"> </w:t>
      </w:r>
      <w:r>
        <w:rPr>
          <w:rFonts w:ascii="Times New Roman;sans-serif" w:hAnsi="Times New Roman;sans-serif"/>
          <w:b w:val="false"/>
          <w:color w:val="000000"/>
          <w:sz w:val="22"/>
        </w:rPr>
        <w:t xml:space="preserve">(to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sans-serif" w:hAnsi="Times New Roman;sans-serif"/>
          <w:b w:val="false"/>
          <w:color w:val="000000"/>
          <w:sz w:val="22"/>
          <w:u w:val="single"/>
        </w:rPr>
        <w:t>Schedule 11.02</w:t>
      </w:r>
      <w:r>
        <w:rPr>
          <w:color w:val="000000"/>
        </w:rPr>
        <w:t xml:space="preserve"> </w:t>
      </w:r>
      <w:r>
        <w:rPr>
          <w:rFonts w:ascii="Times New Roman;sans-serif" w:hAnsi="Times New Roman;sans-serif"/>
          <w:b w:val="false"/>
          <w:color w:val="000000"/>
          <w:sz w:val="22"/>
        </w:rPr>
        <w:t xml:space="preserve">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 the Borrower shall deliver paper copies of such documents to the Administrative Agent or any Lender upon its request to the Borrower to deliver such paper copies until a written request to cease delivering paper copies is given by the Administrative Agent or such Lender and (B) the Borrower shall notify the Administrative Agent and each Lender (by facsimile or electronic mail) of the posting of any such documents and provide to the Administrative Agent by electronic mail electronic versions (</w:t>
      </w:r>
      <w:r>
        <w:rPr>
          <w:rFonts w:ascii="Times New Roman;sans-serif" w:hAnsi="Times New Roman;sans-serif"/>
          <w:b w:val="false"/>
          <w:color w:val="000000"/>
          <w:sz w:val="22"/>
          <w:u w:val="single"/>
        </w:rPr>
        <w:t>i.e.</w:t>
      </w:r>
      <w:r>
        <w:rPr>
          <w:rFonts w:ascii="Times New Roman;sans-serif" w:hAnsi="Times New Roman;sans-serif"/>
          <w:b w:val="false"/>
          <w:color w:val="000000"/>
          <w:sz w:val="22"/>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The Borrower hereby acknowledges that (a) the Administrative Agent and/or an Affiliate thereof may, but shall not be obligated to, make available to the Lenders and the L/C Issuer materials and/or information provided by or on behalf of the Borrower hereunder (collectively, “</w:t>
      </w:r>
      <w:r>
        <w:rPr>
          <w:rFonts w:ascii="Times New Roman;sans-serif" w:hAnsi="Times New Roman;sans-serif"/>
          <w:b w:val="false"/>
          <w:color w:val="000000"/>
          <w:sz w:val="22"/>
          <w:u w:val="single"/>
        </w:rPr>
        <w:t>Borrower Materials</w:t>
      </w:r>
      <w:r>
        <w:rPr>
          <w:color w:val="000000"/>
        </w:rPr>
        <w:t>”</w:t>
      </w:r>
      <w:r>
        <w:rPr>
          <w:rFonts w:ascii="Times New Roman;sans-serif" w:hAnsi="Times New Roman;sans-serif"/>
          <w:b w:val="false"/>
          <w:color w:val="000000"/>
          <w:sz w:val="22"/>
        </w:rPr>
        <w:t>) by posting the Borrower Materials on IntraLinks, Syndtrak, ClearPar or a substantially similar electronic transmission system (the “</w:t>
      </w:r>
      <w:r>
        <w:rPr>
          <w:rFonts w:ascii="Times New Roman;sans-serif" w:hAnsi="Times New Roman;sans-serif"/>
          <w:b w:val="false"/>
          <w:color w:val="000000"/>
          <w:sz w:val="22"/>
          <w:u w:val="single"/>
        </w:rPr>
        <w:t>Platform</w:t>
      </w:r>
      <w:r>
        <w:rPr>
          <w:color w:val="000000"/>
        </w:rPr>
        <w:t>”</w:t>
      </w:r>
      <w:r>
        <w:rPr>
          <w:rFonts w:ascii="Times New Roman;sans-serif" w:hAnsi="Times New Roman;sans-serif"/>
          <w:b w:val="false"/>
          <w:color w:val="000000"/>
          <w:sz w:val="22"/>
        </w:rPr>
        <w:t>) and (b) certain of the Lenders (each a “</w:t>
      </w:r>
      <w:r>
        <w:rPr>
          <w:rFonts w:ascii="Times New Roman;sans-serif" w:hAnsi="Times New Roman;sans-serif"/>
          <w:b w:val="false"/>
          <w:color w:val="000000"/>
          <w:sz w:val="22"/>
          <w:u w:val="single"/>
        </w:rPr>
        <w:t>Public Lender</w:t>
      </w:r>
      <w:r>
        <w:rPr>
          <w:color w:val="000000"/>
        </w:rPr>
        <w:t>”</w:t>
      </w:r>
      <w:r>
        <w:rPr>
          <w:rFonts w:ascii="Times New Roman;sans-serif" w:hAnsi="Times New Roman;sans-serif"/>
          <w:b w:val="false"/>
          <w:color w:val="000000"/>
          <w:sz w:val="22"/>
        </w:rPr>
        <w:t xml:space="preserve">)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any Affiliate thereof, the L/C Issuer and the Lenders to treat such Borrower Materials as not containing any material non-public information (although it may be sensitive and proprietary) with respect to the Borrower or its securities for purposes of United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States federal and state securities Laws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to the extent such Borrower Materials constitute Information, they shall be treated as set forth in </w:t>
      </w:r>
      <w:r>
        <w:rPr>
          <w:rFonts w:ascii="Times New Roman;sans-serif" w:hAnsi="Times New Roman;sans-serif"/>
          <w:b w:val="false"/>
          <w:color w:val="000000"/>
          <w:sz w:val="22"/>
          <w:u w:val="single"/>
        </w:rPr>
        <w:t>Section 11.07</w:t>
      </w:r>
      <w:r>
        <w:rPr>
          <w:rFonts w:ascii="Times New Roman;sans-serif" w:hAnsi="Times New Roman;sans-serif"/>
          <w:b w:val="false"/>
          <w:color w:val="000000"/>
          <w:sz w:val="22"/>
        </w:rPr>
        <w:t>); (y) all Borrower Materials marked “PUBLIC” are permitted to be made available through a portion of the Platform designated “Public Side Information;” and (z) the Administrative Agent and any Affiliate thereof shall be entitled to treat any Borrower Materials that are not marked “PUBLIC” as being suitable only for posting on a portion of the Platform not designated as “Public Side Information.” Notwithstanding the foregoing, the Borrower shall be under no obligation to mark any Borrower Materials “PUBLIC.”</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Notices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Promptly notify the Administrative Agent (who shall notify the Lenders) of the following:</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(i)the occurrence of any Default;</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(ii)any matter known to a Loan Party that has resulted or could reasonably be expected to result in a Material Adverse Effect;</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(iii)the occurrence of any ERISA Event, except for such ERISA Events that could not reasonably be expected to have a Material Adverse Effect; and</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(iv)any material change in accounting policies or financial reporting practices by any Loan Party or any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Each notice pursuant to this </w:t>
      </w:r>
      <w:r>
        <w:rPr>
          <w:rFonts w:ascii="Times New Roman;sans-serif" w:hAnsi="Times New Roman;sans-serif"/>
          <w:b w:val="false"/>
          <w:color w:val="000000"/>
          <w:sz w:val="22"/>
          <w:u w:val="single"/>
        </w:rPr>
        <w:t>Section 7.03</w:t>
      </w:r>
      <w:r>
        <w:rPr>
          <w:color w:val="000000"/>
        </w:rPr>
        <w:t xml:space="preserve"> </w:t>
      </w:r>
      <w:r>
        <w:rPr>
          <w:rFonts w:ascii="Times New Roman;sans-serif" w:hAnsi="Times New Roman;sans-serif"/>
          <w:b w:val="false"/>
          <w:color w:val="000000"/>
          <w:sz w:val="22"/>
        </w:rPr>
        <w:t xml:space="preserve">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sans-serif" w:hAnsi="Times New Roman;sans-serif"/>
          <w:b w:val="false"/>
          <w:color w:val="000000"/>
          <w:sz w:val="22"/>
          <w:u w:val="single"/>
        </w:rPr>
        <w:t>Section 7.03(a)</w:t>
      </w:r>
      <w:r>
        <w:rPr>
          <w:color w:val="000000"/>
        </w:rPr>
        <w:t xml:space="preserve"> </w:t>
      </w:r>
      <w:r>
        <w:rPr>
          <w:rFonts w:ascii="Times New Roman;sans-serif" w:hAnsi="Times New Roman;sans-serif"/>
          <w:b w:val="false"/>
          <w:color w:val="000000"/>
          <w:sz w:val="22"/>
        </w:rPr>
        <w:t>shall describe with particularity any and all provisions of this Agreement and any other Loan Document that have been breached.</w:t>
      </w:r>
    </w:p>
    <w:p>
      <w:pPr>
        <w:pStyle w:val="TextBody"/>
        <w:bidi w:val="0"/>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u w:val="single"/>
        </w:rPr>
        <w:t>Payment of Taxes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Pay and discharge, as the same shall become due and payable, all its material tax liabilities, assessments and governmental charges or levies upon it or its properties or assets, unless the same are being contested in good faith by appropriate proceedings diligently conducted and adequate reserves in accordance with GAAP are being maintained by such Loan Party or such Subsidiary.</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u w:val="single"/>
        </w:rPr>
        <w:t>Preservation of Existence, Etc</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(i)Preserve, renew and maintain in full force and effect its legal existence and good standing under the Laws of the jurisdiction of its organization except in a transaction permitted by </w:t>
      </w:r>
      <w:r>
        <w:rPr>
          <w:rFonts w:ascii="Times New Roman;sans-serif" w:hAnsi="Times New Roman;sans-serif"/>
          <w:b w:val="false"/>
          <w:color w:val="000000"/>
          <w:sz w:val="22"/>
          <w:u w:val="single"/>
        </w:rPr>
        <w:t>Section 8.04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8.05</w:t>
      </w:r>
      <w:r>
        <w:rPr>
          <w:rFonts w:ascii="Times New Roman;sans-serif" w:hAnsi="Times New Roman;sans-serif"/>
          <w:b w:val="false"/>
          <w:color w:val="000000"/>
          <w:sz w:val="22"/>
        </w:rPr>
        <w:t>.</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(ii)Take all reasonable action to maintain all rights, privileges, permits, licenses and franchises necessary or desirable in the normal conduct of its business, except to the extent that the failure to do so could not reasonably be expected to have a Material Adverse Effect.</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(iii)Preserve or renew all of its IP Rights, the non-preservation of which could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u w:val="single"/>
        </w:rPr>
        <w:t>Maintenance of Properties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(i)Maintain, preserve and protect all of its material properties and equipment necessary in the operation of its business in good working order and condition, ordinary wear and tear excepted.</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(ii)Make all necessary repairs thereto and renewals and replacements thereof, except where the failure to do so could not reasonably be expected to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(iii)Use the standard of care typical in the industry in the operation and maintenance of its facilities, except where the failure to do so could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u w:val="single"/>
        </w:rPr>
        <w:t>Maintenance of Insurance</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(i)Maintain in full force and effect insurance (including worker’s compensation insurance, liability insurance, casualty insurance and business interruption insurance) with financially sound and reputable insurance companies not Affiliates of the Borrower, in such amounts, with such deductibles and covering such risks as are customarily carried by companies engaged in similar businesses and owning similar properties in localities where such Loan Party or such Subsidiary operates.</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(ii)Cause each Loan Party to cause the Administrative Agent to be named as lender’s loss payee,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use commercially reasonable efforts to give the Administrative Agent thirty days prior written notice before any such policy or policies shall be altered or canceled.</w:t>
      </w:r>
    </w:p>
    <w:p>
      <w:pPr>
        <w:pStyle w:val="TextBody"/>
        <w:bidi w:val="0"/>
        <w:spacing w:lineRule="auto" w:line="240" w:before="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u w:val="single"/>
        </w:rPr>
        <w:t>Compliance with Laws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1.09</w:t>
      </w:r>
      <w:r>
        <w:rPr>
          <w:rFonts w:ascii="Times New Roman;sans-serif" w:hAnsi="Times New Roman;sans-serif"/>
          <w:b/>
          <w:color w:val="000000"/>
          <w:sz w:val="22"/>
          <w:u w:val="single"/>
        </w:rPr>
        <w:t>Books and Records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(i)Maintain proper books of record and account, in which full, true and correct entries in conformity with GAAP consistently applied shall be made of all financial transactions and matters involving the assets and business of such Loan Party or such Subsidiary, as the case may be.</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(ii)Maintain such books of record and account in material conformity with all applicable requirements of any Governmental Authority having regulatory jurisdiction over such Loan Party or such Subsidiary, as the case may be.</w:t>
      </w:r>
    </w:p>
    <w:p>
      <w:pPr>
        <w:pStyle w:val="TextBody"/>
        <w:bidi w:val="0"/>
        <w:spacing w:lineRule="auto" w:line="240" w:before="0" w:after="240"/>
        <w:ind w:left="0" w:right="0" w:firstLine="720"/>
        <w:jc w:val="both"/>
        <w:rPr/>
      </w:pPr>
      <w:r>
        <w:rPr>
          <w:rFonts w:ascii="Times New Roman;sans-serif" w:hAnsi="Times New Roman;sans-serif"/>
          <w:b/>
          <w:color w:val="000000"/>
          <w:sz w:val="22"/>
        </w:rPr>
        <w:t>1.j</w:t>
      </w:r>
      <w:r>
        <w:rPr>
          <w:rFonts w:ascii="Times New Roman;sans-serif" w:hAnsi="Times New Roman;sans-serif"/>
          <w:b/>
          <w:color w:val="000000"/>
          <w:sz w:val="22"/>
          <w:u w:val="single"/>
        </w:rPr>
        <w:t>Inspection Rights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Borrower shall be entitled to attend such discussions), at such reasonable times during normal business hours and as often as may be reasonably desired, upon reasonable advance notice to the Borrower, with the Borrower obligated to reimburse the Administrative Agent for the reasonable cost of such inspections;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 prior to an Event of Default, the Borrower will only be obligated to reimburse the Administrative Agent for one inspection per year and (b)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1.k</w:t>
      </w:r>
      <w:r>
        <w:rPr>
          <w:rFonts w:ascii="Times New Roman;sans-serif" w:hAnsi="Times New Roman;sans-serif"/>
          <w:b/>
          <w:color w:val="000000"/>
          <w:sz w:val="22"/>
          <w:u w:val="single"/>
        </w:rPr>
        <w:t>Use of Proceeds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Use the proceeds of the Credit Extensions (a) to finance working capital, capital expenditures and other lawful corporate purposes, (b) to refinance existing Indebtedness (including Indebtedness under the Existing Credit Agreement) and (c) to pay fees and expenses incurred in connection with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in no event shall the proceeds of the Credit Extensions be used in contravention of any Law or of any Loan Document.</w:t>
      </w:r>
    </w:p>
    <w:p>
      <w:pPr>
        <w:pStyle w:val="TextBody"/>
        <w:bidi w:val="0"/>
        <w:spacing w:lineRule="auto" w:line="240" w:before="0" w:after="240"/>
        <w:ind w:left="0" w:right="0" w:firstLine="720"/>
        <w:jc w:val="both"/>
        <w:rPr/>
      </w:pPr>
      <w:r>
        <w:rPr>
          <w:rFonts w:ascii="Times New Roman;sans-serif" w:hAnsi="Times New Roman;sans-serif"/>
          <w:b/>
          <w:color w:val="000000"/>
          <w:sz w:val="22"/>
        </w:rPr>
        <w:t>1.l</w:t>
      </w:r>
      <w:r>
        <w:rPr>
          <w:rFonts w:ascii="Times New Roman;sans-serif" w:hAnsi="Times New Roman;sans-serif"/>
          <w:b/>
          <w:color w:val="000000"/>
          <w:sz w:val="22"/>
          <w:u w:val="single"/>
        </w:rPr>
        <w:t>ERISA Compliance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Do, and cause each of its ERISA Affiliates to do, each of the following: (a) maintain each Plan in compliance in all material respects with the applicable provisions of ERISA, the Internal Revenue Code and other federal or state law; (b) cause each Plan that is qualified under Section 401(a) of the Internal Revenue Code to maintain such qualification; and (c) make all required contributions to any Plan subject to Section 412, Section 430 or Section 431 of the Internal Revenue Code.</w:t>
      </w:r>
    </w:p>
    <w:p>
      <w:pPr>
        <w:pStyle w:val="TextBody"/>
        <w:bidi w:val="0"/>
        <w:spacing w:lineRule="auto" w:line="240" w:before="0" w:after="240"/>
        <w:ind w:left="0" w:right="0" w:firstLine="720"/>
        <w:jc w:val="both"/>
        <w:rPr/>
      </w:pPr>
      <w:r>
        <w:rPr>
          <w:rFonts w:ascii="Times New Roman;sans-serif" w:hAnsi="Times New Roman;sans-serif"/>
          <w:b/>
          <w:color w:val="000000"/>
          <w:sz w:val="22"/>
        </w:rPr>
        <w:t>1.m</w:t>
      </w:r>
      <w:r>
        <w:rPr>
          <w:rFonts w:ascii="Times New Roman;sans-serif" w:hAnsi="Times New Roman;sans-serif"/>
          <w:b/>
          <w:color w:val="000000"/>
          <w:sz w:val="22"/>
          <w:u w:val="single"/>
        </w:rPr>
        <w:t>Additional Subsidiaries; Guarantee of Second Lien Debt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(i)(i)    Within thirty days (or such longer period of time as is agreed by the Administrative Agent in its sole discretion) after the acquisition or formation of any Subsidiary, notify the Administrative Agent thereof in writing, together with the (A) jurisdiction of formation, (B) number of shares of each class of Equity Interests outstanding, (C) number and percentage of outstanding shares of each class owned (directly or indirectly) by the Borrower or any Subsidiary, (D) number and effect, if exercised, of all outstanding options, warrants, rights of conversion or purchase and all other similar rights with respect thereto, and (E) an indication whether such Subsidiary will be a Guarantor, a Limited Guarantor, an Excluded Subsidiary, an Omitted Subsidiary and/or a Regulated Subsidiary (in each case, subject to the approval of the Administrative Agent, which approval shall not be unreasonably withheld or delayed); and (ii) within thirty days (or such longer period of time as is agreed by the Administrative Agent in its sole discretion) after the acquisition or formation of any Subsidiary, unless such Subsidiary is an Excluded Subsidiary, cause such Person to (A)(1) become a Guarantor by executing and delivering to the Administrative Agent a Joinder Agreement or such other documents as the Administrative Agent shall deem appropriate for such purpose, and (2) become a party to the Intercreditor Agreement and any then-existing Subordination Agreement (to the extent required by the terms of such Subordination Agreement) by executing and delivering to the Administrative Agent a joinder agreement to the Intercreditor Agreement and/or such Subordination Agreement, in form and substance satisfactory to the Administrative Agent, and (B) upon the request of the Administrative Agent in its sole discretion, deliver to the Administrative Agent such Organization Documents, resolutions and favorable opinions of counsel, all in form, content and scope reasonably satisfactory to the Administrative Agent.</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(ii)Upon the guarantee by any Subsidiary of the Second Lien Debt, concurrently with the provision of such guarantee, to the extent such Subsidiary is not a Guarantor, cause such Subsidiary, to (i)(A) become a Guarantor by executing and delivering to the Administrative Agent a Joinder Agreement or such other documents as the Administrative Agent shall deem appropriate for such purpose, and (B) become a party to the Intercreditor Agreement and any then-existing Subordination Agreement (to the extent required by the terms of such Subordination Agreement) by executing and delivering to the Administrative Agent a joinder agreement to the Intercreditor Agreement and/or such Subordination Agreement, in form and substance satisfactory to the Administrative Agent, and (ii) upon the request of the Administrative Agent in its sole discretion, deliver to the Administrative Agent such Organization Documents, resolutions and favorable opinions of counsel, all in form, content and scope reasonably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color w:val="000000"/>
          <w:sz w:val="22"/>
        </w:rPr>
        <w:t>1.n</w:t>
      </w:r>
      <w:r>
        <w:rPr>
          <w:rFonts w:ascii="Times New Roman;sans-serif" w:hAnsi="Times New Roman;sans-serif"/>
          <w:b/>
          <w:color w:val="000000"/>
          <w:sz w:val="22"/>
          <w:u w:val="single"/>
        </w:rPr>
        <w:t>Pledged Assets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Equity Interests</w:t>
      </w:r>
      <w:r>
        <w:rPr>
          <w:rFonts w:ascii="Times New Roman;sans-serif" w:hAnsi="Times New Roman;sans-serif"/>
          <w:b w:val="false"/>
          <w:color w:val="000000"/>
          <w:sz w:val="22"/>
        </w:rPr>
        <w:t xml:space="preserve">. Other than Excluded Property, cause 100% of the issued and outstanding Equity Interests of each Subsidiary directly owned by each Loan Party to be subject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at all times to a first priority, perfected Lien in favor of the Administrative Agent pursuant to the terms and conditions of the Collateral Documents, together with opinions of counsel and any filings and deliveries reasonably necessary in connection therewith to perfect the security interests therein, all in form and substance reasonably satisfactory to the Administrative Agent.</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Other Property</w:t>
      </w:r>
      <w:r>
        <w:rPr>
          <w:rFonts w:ascii="Times New Roman;sans-serif" w:hAnsi="Times New Roman;sans-serif"/>
          <w:b w:val="false"/>
          <w:color w:val="000000"/>
          <w:sz w:val="22"/>
        </w:rPr>
        <w:t xml:space="preserve">. (i) Cause all owned and leased personal property (other than Excluded Property) of each Loan Party to be subject at all times to first priority, perfected Liens in favor of the Administrative Agent (to the extent that (A) such security interests and Liens can be perfected by such filings, deliveries, notations, and other actions contemplated by the Collateral Documents and (B) such actions are required to be taken with respect to such Collateral by the terms of the Collateral Documents) to secure the Obligations pursuant to the terms and conditions of the Collateral Documents, subject in any case to Permitted Liens and (ii) deliver such other documentation as the Administrative Agent may reasonably request in connection with the foregoing, including appropriate UCC-1 financing statements, certified resolutions and other organizational and authorizing documents of such Person, favorable opinions of counsel to such Person (which shall cover, among other things, the legality, validity, binding effect and enforceability of the documentation referred to above and the perfection under the UCC of the Administrative Agent’s Liens thereunder) and other items of the types required to be delivered pursuant to </w:t>
      </w:r>
      <w:r>
        <w:rPr>
          <w:rFonts w:ascii="Times New Roman;sans-serif" w:hAnsi="Times New Roman;sans-serif"/>
          <w:b w:val="false"/>
          <w:color w:val="000000"/>
          <w:sz w:val="22"/>
          <w:u w:val="single"/>
        </w:rPr>
        <w:t>Section 5.01(c)</w:t>
      </w:r>
      <w:r>
        <w:rPr>
          <w:rFonts w:ascii="Times New Roman;sans-serif" w:hAnsi="Times New Roman;sans-serif"/>
          <w:b w:val="false"/>
          <w:color w:val="000000"/>
          <w:sz w:val="22"/>
        </w:rPr>
        <w:t>, all in form, content and scope reasonably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Foreign Law Governed Collateral Documents</w:t>
      </w:r>
      <w:r>
        <w:rPr>
          <w:rFonts w:ascii="Times New Roman;sans-serif" w:hAnsi="Times New Roman;sans-serif"/>
          <w:b w:val="false"/>
          <w:color w:val="000000"/>
          <w:sz w:val="22"/>
        </w:rPr>
        <w:t>. For the avoidance of doubt, the Loan Parties shall not be required to delivery foreign law governed Collateral Documents unless requested by the Administrative Agent or the Required Lenders.</w:t>
      </w:r>
    </w:p>
    <w:p>
      <w:pPr>
        <w:pStyle w:val="TextBody"/>
        <w:bidi w:val="0"/>
        <w:spacing w:lineRule="auto" w:line="240" w:before="0" w:after="240"/>
        <w:ind w:left="0" w:right="0" w:firstLine="720"/>
        <w:jc w:val="both"/>
        <w:rPr/>
      </w:pPr>
      <w:r>
        <w:rPr>
          <w:rFonts w:ascii="Times New Roman;sans-serif" w:hAnsi="Times New Roman;sans-serif"/>
          <w:b/>
          <w:color w:val="000000"/>
          <w:sz w:val="22"/>
        </w:rPr>
        <w:t>1.o</w:t>
      </w:r>
      <w:r>
        <w:rPr>
          <w:rFonts w:ascii="Times New Roman;sans-serif" w:hAnsi="Times New Roman;sans-serif"/>
          <w:b/>
          <w:color w:val="000000"/>
          <w:sz w:val="22"/>
          <w:u w:val="single"/>
        </w:rPr>
        <w:t>Anti-Corruption; Sanctions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(i)Conduct its business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(ii)Conduct its business in compliance with all applicable Sanctions and maintain policies and procedures designed to promote and achieve compliance with all applicable Sanctions.</w:t>
      </w:r>
    </w:p>
    <w:p>
      <w:pPr>
        <w:pStyle w:val="TextBody"/>
        <w:bidi w:val="0"/>
        <w:spacing w:lineRule="auto" w:line="240" w:before="0" w:after="240"/>
        <w:jc w:val="center"/>
        <w:rPr/>
      </w:pPr>
      <w:r>
        <w:rPr>
          <w:rFonts w:ascii="Times New Roman;sans-serif" w:hAnsi="Times New Roman;sans-serif"/>
          <w:b/>
          <w:color w:val="000000"/>
          <w:sz w:val="22"/>
        </w:rPr>
        <w:t>Article 8.</w:t>
      </w:r>
      <w:r>
        <w:rPr>
          <w:rFonts w:ascii="Times New Roman;sans-serif" w:hAnsi="Times New Roman;sans-serif"/>
          <w:b/>
          <w:color w:val="000000"/>
          <w:sz w:val="22"/>
        </w:rPr>
        <w:br/>
        <w:br/>
        <w:t>NEGATIVE COVENANTS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So long as any Lender shall have any Commitment hereunder, any Loan or other Obligation (other than contingent indemnification obligations as to which no claim has been asserted and obligations and liabilities under Secured Cash Management Agreements or Secured Hedge Agreements as to which arrangements satisfactory to the applicable Cash Management Bank or Hedge Bank shall have been made) hereunder shall remain unpaid or unsatisfied, or any Letter of Credit (other than Letters of Credit, the L/C Obligations for which have been Cash Collateralized) shall remain outstanding, the Borrower shall not, nor shall it permit any Loan Party or any other Subsidiary to, directly or indirectly:</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Liens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Create, incur, assume or suffer to exist any Lien upon any of its property, assets or revenues, whether now owned or hereafter acquired, other than the following:</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(i)Liens pursuant to any Loan Document;</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(ii)Liens existing on the Seventh Amendment Effective Date and listed on </w:t>
      </w:r>
      <w:r>
        <w:rPr>
          <w:rFonts w:ascii="Times New Roman;sans-serif" w:hAnsi="Times New Roman;sans-serif"/>
          <w:b w:val="false"/>
          <w:color w:val="000000"/>
          <w:sz w:val="22"/>
          <w:u w:val="single"/>
        </w:rPr>
        <w:t>Schedule 8.01</w:t>
      </w:r>
      <w:r>
        <w:rPr>
          <w:color w:val="000000"/>
        </w:rPr>
        <w:t xml:space="preserve"> </w:t>
      </w:r>
      <w:r>
        <w:rPr>
          <w:rFonts w:ascii="Times New Roman;sans-serif" w:hAnsi="Times New Roman;sans-serif"/>
          <w:b w:val="false"/>
          <w:color w:val="000000"/>
          <w:sz w:val="22"/>
        </w:rPr>
        <w:t xml:space="preserve">and any modifications, replacements, renewals or extensions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the property covered thereby is not increased other than after acquired property that is affixed or incorporated into such property and proceeds and products of such property, (ii) the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amount secured or benefited thereby is not increased, (iii) the direct or any contingent obligor with respect thereto is not changed and (iv) any modification, replacement, renewal or extension is permitted by </w:t>
      </w:r>
      <w:r>
        <w:rPr>
          <w:rFonts w:ascii="Times New Roman;sans-serif" w:hAnsi="Times New Roman;sans-serif"/>
          <w:b w:val="false"/>
          <w:color w:val="000000"/>
          <w:sz w:val="22"/>
          <w:u w:val="single"/>
        </w:rPr>
        <w:t>Section 8.03(b)</w:t>
      </w:r>
      <w:r>
        <w:rPr>
          <w:rFonts w:ascii="Times New Roman;sans-serif" w:hAnsi="Times New Roman;sans-serif"/>
          <w:b w:val="false"/>
          <w:color w:val="000000"/>
          <w:sz w:val="22"/>
        </w:rPr>
        <w:t>;</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(iii)Liens (other than Liens imposed under ERISA) for taxes, assessments or governmental charges or levies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(iv)Liens of landlords and Liens of carriers, warehousemen, mechanics, materialmen and suppliers and other Liens imposed by law or pursuant to customary reservations or retentions of title arising in the ordinary course of business;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such Liens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(v)pledges or deposits in the ordinary course of business in connection with workers’ compensation, unemployment insurance and other social security legislation, other than any Lien imposed by ERISA;</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(vi)deposits to secure the performance of bids, trade contracts and leases (other than Indebtedness for borrowed money), statutory obligations, surety and appeal bonds, performance bonds and other obligations of a like nature incurred in the ordinary course of business;</w:t>
      </w:r>
    </w:p>
    <w:p>
      <w:pPr>
        <w:pStyle w:val="TextBody"/>
        <w:bidi w:val="0"/>
        <w:spacing w:lineRule="auto" w:line="240" w:before="0" w:after="240"/>
        <w:ind w:left="0" w:right="0" w:firstLine="342"/>
        <w:jc w:val="both"/>
        <w:rPr>
          <w:rFonts w:ascii="Times New Roman;sans-serif" w:hAnsi="Times New Roman;sans-serif"/>
          <w:b w:val="false"/>
          <w:color w:val="000000"/>
          <w:sz w:val="22"/>
        </w:rPr>
      </w:pPr>
      <w:r>
        <w:rPr>
          <w:rFonts w:ascii="Times New Roman;sans-serif" w:hAnsi="Times New Roman;sans-serif"/>
          <w:b w:val="false"/>
          <w:color w:val="000000"/>
          <w:sz w:val="22"/>
        </w:rPr>
        <w:t>(vii)easements,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lineRule="auto" w:line="240" w:before="0" w:after="240"/>
        <w:ind w:left="0" w:right="0" w:firstLine="281"/>
        <w:jc w:val="both"/>
        <w:rPr/>
      </w:pPr>
      <w:r>
        <w:rPr>
          <w:rFonts w:ascii="Times New Roman;sans-serif" w:hAnsi="Times New Roman;sans-serif"/>
          <w:b w:val="false"/>
          <w:color w:val="000000"/>
          <w:sz w:val="22"/>
        </w:rPr>
        <w:t xml:space="preserve">(viii)Liens securing judgments for the payment of money (or appeal or other surety bonds relating to such judgments) not constituting an Event of Default under </w:t>
      </w:r>
      <w:r>
        <w:rPr>
          <w:rFonts w:ascii="Times New Roman;sans-serif" w:hAnsi="Times New Roman;sans-serif"/>
          <w:b w:val="false"/>
          <w:color w:val="000000"/>
          <w:sz w:val="22"/>
          <w:u w:val="single"/>
        </w:rPr>
        <w:t>Section 9.01(h)</w:t>
      </w:r>
      <w:r>
        <w:rPr>
          <w:rFonts w:ascii="Times New Roman;sans-serif" w:hAnsi="Times New Roman;sans-serif"/>
          <w:b w:val="false"/>
          <w:color w:val="000000"/>
          <w:sz w:val="22"/>
        </w:rPr>
        <w: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(ix)Liens securing Indebtedness permitted under </w:t>
      </w:r>
      <w:r>
        <w:rPr>
          <w:rFonts w:ascii="Times New Roman;sans-serif" w:hAnsi="Times New Roman;sans-serif"/>
          <w:b w:val="false"/>
          <w:color w:val="000000"/>
          <w:sz w:val="22"/>
          <w:u w:val="single"/>
        </w:rPr>
        <w:t>Section 8.03(e)</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 such Liens do not at any time encumber any property other than the property financed by such Indebtedness (except for additions and accessions to such property) and (ii) such Liens attach to such property concurrently with or within ninety days after the acquisition thereof;</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(x)leases, licenses, subleases or sublicenses granted to others not interfering in any material respect with the business of any Loan Party or any Subsidiary;</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(xi)any interest of title of a lessor under, and Liens arising from UCC financing statements (or equivalent filings, registrations or agreements in foreign jurisdictions) relating to, leases permitted by this Agreement;</w:t>
      </w:r>
    </w:p>
    <w:p>
      <w:pPr>
        <w:pStyle w:val="TextBody"/>
        <w:bidi w:val="0"/>
        <w:spacing w:lineRule="auto" w:line="240" w:before="0" w:after="240"/>
        <w:ind w:left="0" w:right="0" w:firstLine="342"/>
        <w:jc w:val="both"/>
        <w:rPr>
          <w:rFonts w:ascii="Times New Roman;sans-serif" w:hAnsi="Times New Roman;sans-serif"/>
          <w:b w:val="false"/>
          <w:color w:val="000000"/>
          <w:sz w:val="22"/>
        </w:rPr>
      </w:pPr>
      <w:r>
        <w:rPr>
          <w:rFonts w:ascii="Times New Roman;sans-serif" w:hAnsi="Times New Roman;sans-serif"/>
          <w:b w:val="false"/>
          <w:color w:val="000000"/>
          <w:sz w:val="22"/>
        </w:rPr>
        <w:t>(xii)Liens deemed to exist in connection with Investments in Permitted Repos;</w:t>
      </w:r>
    </w:p>
    <w:p>
      <w:pPr>
        <w:pStyle w:val="TextBody"/>
        <w:bidi w:val="0"/>
        <w:spacing w:lineRule="auto" w:line="240" w:before="0" w:after="240"/>
        <w:ind w:left="0" w:right="0" w:firstLine="281"/>
        <w:jc w:val="both"/>
        <w:rPr>
          <w:rFonts w:ascii="Times New Roman;sans-serif" w:hAnsi="Times New Roman;sans-serif"/>
          <w:b w:val="false"/>
          <w:color w:val="000000"/>
          <w:sz w:val="22"/>
        </w:rPr>
      </w:pPr>
      <w:r>
        <w:rPr>
          <w:rFonts w:ascii="Times New Roman;sans-serif" w:hAnsi="Times New Roman;sans-serif"/>
          <w:b w:val="false"/>
          <w:color w:val="000000"/>
          <w:sz w:val="22"/>
        </w:rPr>
        <w:t>(xiii)normal and customary rights of setoff upon deposits of cash in favor of banks or other depository institutions;</w:t>
      </w:r>
    </w:p>
    <w:p>
      <w:pPr>
        <w:pStyle w:val="TextBody"/>
        <w:bidi w:val="0"/>
        <w:spacing w:lineRule="auto" w:line="240" w:before="0" w:after="240"/>
        <w:ind w:left="0" w:right="0" w:firstLine="293"/>
        <w:jc w:val="both"/>
        <w:rPr>
          <w:rFonts w:ascii="Times New Roman;sans-serif" w:hAnsi="Times New Roman;sans-serif"/>
          <w:b w:val="false"/>
          <w:color w:val="000000"/>
          <w:sz w:val="22"/>
        </w:rPr>
      </w:pPr>
      <w:r>
        <w:rPr>
          <w:rFonts w:ascii="Times New Roman;sans-serif" w:hAnsi="Times New Roman;sans-serif"/>
          <w:b w:val="false"/>
          <w:color w:val="000000"/>
          <w:sz w:val="22"/>
        </w:rPr>
        <w:t>(xiv)Liens of a collection bank arising under Section 4-210 of the Uniform Commercial Code on items in the course of collection;</w:t>
      </w:r>
    </w:p>
    <w:p>
      <w:pPr>
        <w:pStyle w:val="TextBody"/>
        <w:bidi w:val="0"/>
        <w:spacing w:lineRule="auto" w:line="240" w:before="0" w:after="240"/>
        <w:ind w:left="0" w:right="0" w:firstLine="354"/>
        <w:jc w:val="both"/>
        <w:rPr>
          <w:rFonts w:ascii="Times New Roman;sans-serif" w:hAnsi="Times New Roman;sans-serif"/>
          <w:b w:val="false"/>
          <w:color w:val="000000"/>
          <w:sz w:val="22"/>
        </w:rPr>
      </w:pPr>
      <w:r>
        <w:rPr>
          <w:rFonts w:ascii="Times New Roman;sans-serif" w:hAnsi="Times New Roman;sans-serif"/>
          <w:b w:val="false"/>
          <w:color w:val="000000"/>
          <w:sz w:val="22"/>
        </w:rPr>
        <w:t>(xv)Liens incurred or assumed in the ordinary course on cash, marketable securities, commodities or other financial products to secure securities lending transactions at Regulated Subsidiaries and other stock lending transactions, repurchase agreements, and other collateralized financing transactions at Regulated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29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(xvi)pledges of securities or commodity positions and exchange memberships in the ordinary course of business; </w:t>
      </w:r>
    </w:p>
    <w:p>
      <w:pPr>
        <w:pStyle w:val="TextBody"/>
        <w:bidi w:val="0"/>
        <w:spacing w:lineRule="auto" w:line="240" w:before="0" w:after="240"/>
        <w:ind w:left="0" w:right="0" w:firstLine="232"/>
        <w:jc w:val="both"/>
        <w:rPr>
          <w:rFonts w:ascii="Times New Roman;sans-serif" w:hAnsi="Times New Roman;sans-serif"/>
          <w:b w:val="false"/>
          <w:color w:val="000000"/>
          <w:sz w:val="22"/>
        </w:rPr>
      </w:pPr>
      <w:r>
        <w:rPr>
          <w:rFonts w:ascii="Times New Roman;sans-serif" w:hAnsi="Times New Roman;sans-serif"/>
          <w:b w:val="false"/>
          <w:color w:val="000000"/>
          <w:sz w:val="22"/>
        </w:rPr>
        <w:t>(xvii)deposits or securities with commodity or securities exchanges or clearing organizations, or with other exchanges or markets, in each case in the ordinary course of business;</w:t>
      </w:r>
    </w:p>
    <w:p>
      <w:pPr>
        <w:pStyle w:val="TextBody"/>
        <w:bidi w:val="0"/>
        <w:spacing w:lineRule="auto" w:line="240" w:before="0" w:after="240"/>
        <w:ind w:left="0" w:right="0" w:firstLine="171"/>
        <w:jc w:val="both"/>
        <w:rPr>
          <w:rFonts w:ascii="Times New Roman;sans-serif" w:hAnsi="Times New Roman;sans-serif"/>
          <w:b w:val="false"/>
          <w:color w:val="000000"/>
          <w:sz w:val="22"/>
        </w:rPr>
      </w:pPr>
      <w:r>
        <w:rPr>
          <w:rFonts w:ascii="Times New Roman;sans-serif" w:hAnsi="Times New Roman;sans-serif"/>
          <w:b w:val="false"/>
          <w:color w:val="000000"/>
          <w:sz w:val="22"/>
        </w:rPr>
        <w:t>(xviii)Liens in favor of customers of Regulated Subsidiaries arising in the ordinary course of business and Liens securing indebtedness of Regulated Subsidiaries in respect of customer funds in the ordinary course of business;</w:t>
      </w:r>
    </w:p>
    <w:p>
      <w:pPr>
        <w:pStyle w:val="TextBody"/>
        <w:bidi w:val="0"/>
        <w:spacing w:lineRule="auto" w:line="240" w:before="0" w:after="240"/>
        <w:ind w:left="0" w:right="0" w:firstLine="293"/>
        <w:jc w:val="both"/>
        <w:rPr>
          <w:rFonts w:ascii="Times New Roman;sans-serif" w:hAnsi="Times New Roman;sans-serif"/>
          <w:b w:val="false"/>
          <w:color w:val="000000"/>
          <w:sz w:val="22"/>
        </w:rPr>
      </w:pPr>
      <w:r>
        <w:rPr>
          <w:rFonts w:ascii="Times New Roman;sans-serif" w:hAnsi="Times New Roman;sans-serif"/>
          <w:b w:val="false"/>
          <w:color w:val="000000"/>
          <w:sz w:val="22"/>
        </w:rPr>
        <w:t>(xix)Liens incurred in the ordinary course of the business of the Loan Parties and their Subsidiaries, including its trading and market making businesses and other lines of business entered into in accordance with the terms of this Agreement;</w:t>
      </w:r>
    </w:p>
    <w:p>
      <w:pPr>
        <w:pStyle w:val="TextBody"/>
        <w:bidi w:val="0"/>
        <w:spacing w:lineRule="auto" w:line="240" w:before="0" w:after="240"/>
        <w:ind w:left="0" w:right="0" w:firstLine="354"/>
        <w:jc w:val="both"/>
        <w:rPr/>
      </w:pPr>
      <w:r>
        <w:rPr>
          <w:rFonts w:ascii="Times New Roman;sans-serif" w:hAnsi="Times New Roman;sans-serif"/>
          <w:b w:val="false"/>
          <w:color w:val="000000"/>
          <w:sz w:val="22"/>
        </w:rPr>
        <w:t xml:space="preserve">(xx)Liens securing Indebtedness of any Person that becomes a Subsidiary after the Closing Date as a result of a Permitted Acquisition or otherwise assumed in connection with a Permitted Acquisition;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such Indebtedness (and any Guarantees thereof) exists at the time of such Permitted Acquisition, and is not created in contemplation of or in connection with such Permitted Acquisition and refinancings in respect thereof;</w:t>
      </w:r>
    </w:p>
    <w:p>
      <w:pPr>
        <w:pStyle w:val="TextBody"/>
        <w:bidi w:val="0"/>
        <w:spacing w:lineRule="auto" w:line="240" w:before="0" w:after="240"/>
        <w:ind w:left="0" w:right="0" w:firstLine="293"/>
        <w:jc w:val="both"/>
        <w:rPr>
          <w:rFonts w:ascii="Times New Roman;sans-serif" w:hAnsi="Times New Roman;sans-serif"/>
          <w:b w:val="false"/>
          <w:color w:val="000000"/>
          <w:sz w:val="22"/>
        </w:rPr>
      </w:pPr>
      <w:r>
        <w:rPr>
          <w:rFonts w:ascii="Times New Roman;sans-serif" w:hAnsi="Times New Roman;sans-serif"/>
          <w:b w:val="false"/>
          <w:color w:val="000000"/>
          <w:sz w:val="22"/>
        </w:rPr>
        <w:t>(xxi)Liens in favor of the Borrower and the Guarantors;</w:t>
      </w:r>
    </w:p>
    <w:p>
      <w:pPr>
        <w:pStyle w:val="TextBody"/>
        <w:bidi w:val="0"/>
        <w:spacing w:lineRule="auto" w:line="240" w:before="0" w:after="240"/>
        <w:ind w:left="0" w:right="0" w:firstLine="232"/>
        <w:jc w:val="both"/>
        <w:rPr/>
      </w:pPr>
      <w:r>
        <w:rPr>
          <w:rFonts w:ascii="Times New Roman;sans-serif" w:hAnsi="Times New Roman;sans-serif"/>
          <w:b w:val="false"/>
          <w:color w:val="000000"/>
          <w:sz w:val="22"/>
        </w:rPr>
        <w:t xml:space="preserve">(xxii)Liens securing Indebtedness permitted by </w:t>
      </w:r>
      <w:r>
        <w:rPr>
          <w:rFonts w:ascii="Times New Roman;sans-serif" w:hAnsi="Times New Roman;sans-serif"/>
          <w:b w:val="false"/>
          <w:color w:val="000000"/>
          <w:sz w:val="22"/>
          <w:u w:val="single"/>
        </w:rPr>
        <w:t>Section 8.03(f)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such Liens do not at any time encumber any property other than the underlying trading assets (including assets ancillary to such trading assets and proceeds thereof) being purchased with the proceeds of such Indebtedness, except for (i) Liens securing Indebtedness under the StoneX Financial Margin Facility, which Liens may encumber all of the assets of StoneX Financial, and (ii) Liens securing Indebtedness under the StoneX Commodity Facility, which Liens may encumber all of the StoneX Commodity Facility Collateral;</w:t>
      </w:r>
    </w:p>
    <w:p>
      <w:pPr>
        <w:pStyle w:val="TextBody"/>
        <w:bidi w:val="0"/>
        <w:spacing w:lineRule="auto" w:line="240" w:before="0" w:after="240"/>
        <w:ind w:left="0" w:right="0" w:firstLine="171"/>
        <w:jc w:val="both"/>
        <w:rPr/>
      </w:pPr>
      <w:r>
        <w:rPr>
          <w:rFonts w:ascii="Times New Roman;sans-serif" w:hAnsi="Times New Roman;sans-serif"/>
          <w:b w:val="false"/>
          <w:color w:val="000000"/>
          <w:sz w:val="22"/>
        </w:rPr>
        <w:t xml:space="preserve">(xxiii)Liens securing the Second Lien Debt permitted pursuant to </w:t>
      </w:r>
      <w:r>
        <w:rPr>
          <w:rFonts w:ascii="Times New Roman;sans-serif" w:hAnsi="Times New Roman;sans-serif"/>
          <w:b w:val="false"/>
          <w:color w:val="000000"/>
          <w:sz w:val="22"/>
          <w:u w:val="single"/>
        </w:rPr>
        <w:t>Section 8.03(p)</w:t>
      </w:r>
      <w:r>
        <w:rPr>
          <w:rFonts w:ascii="Times New Roman;sans-serif" w:hAnsi="Times New Roman;sans-serif"/>
          <w:b w:val="false"/>
          <w:color w:val="000000"/>
          <w:sz w:val="22"/>
        </w:rPr>
        <w:t>, so long as such Liens are subject to the Intercreditor Agreement;</w:t>
      </w:r>
    </w:p>
    <w:p>
      <w:pPr>
        <w:pStyle w:val="TextBody"/>
        <w:bidi w:val="0"/>
        <w:spacing w:lineRule="auto" w:line="240" w:before="0" w:after="240"/>
        <w:ind w:left="0" w:right="0" w:firstLine="183"/>
        <w:jc w:val="both"/>
        <w:rPr>
          <w:rFonts w:ascii="Times New Roman;sans-serif" w:hAnsi="Times New Roman;sans-serif"/>
          <w:b w:val="false"/>
          <w:color w:val="000000"/>
          <w:sz w:val="22"/>
        </w:rPr>
      </w:pPr>
      <w:r>
        <w:rPr>
          <w:rFonts w:ascii="Times New Roman;sans-serif" w:hAnsi="Times New Roman;sans-serif"/>
          <w:b w:val="false"/>
          <w:color w:val="000000"/>
          <w:sz w:val="22"/>
        </w:rPr>
        <w:t>(xxiv)other Liens securing obligations the aggregate amount of which does not exceed $15,000,000;</w:t>
      </w:r>
    </w:p>
    <w:p>
      <w:pPr>
        <w:pStyle w:val="TextBody"/>
        <w:bidi w:val="0"/>
        <w:spacing w:lineRule="auto" w:line="240" w:before="0" w:after="240"/>
        <w:ind w:left="0" w:right="0" w:firstLine="244"/>
        <w:jc w:val="both"/>
        <w:rPr/>
      </w:pPr>
      <w:r>
        <w:rPr>
          <w:rFonts w:ascii="Times New Roman;sans-serif" w:hAnsi="Times New Roman;sans-serif"/>
          <w:b w:val="false"/>
          <w:color w:val="000000"/>
          <w:sz w:val="22"/>
        </w:rPr>
        <w:t xml:space="preserve">(xxv)Liens on assets of a Subsidiary that is not a Loan Party in favor of a Subsidiary that is not a Loan Party securing Indebtedness permitted by </w:t>
      </w:r>
      <w:r>
        <w:rPr>
          <w:rFonts w:ascii="Times New Roman;sans-serif" w:hAnsi="Times New Roman;sans-serif"/>
          <w:b w:val="false"/>
          <w:color w:val="000000"/>
          <w:sz w:val="22"/>
          <w:u w:val="single"/>
        </w:rPr>
        <w:t>Section 8.03(c)</w:t>
      </w:r>
      <w:r>
        <w:rPr>
          <w:rFonts w:ascii="Times New Roman;sans-serif" w:hAnsi="Times New Roman;sans-serif"/>
          <w:b w:val="false"/>
          <w:color w:val="000000"/>
          <w:sz w:val="22"/>
        </w:rPr>
        <w:t>; and</w:t>
      </w:r>
    </w:p>
    <w:p>
      <w:pPr>
        <w:pStyle w:val="TextBody"/>
        <w:bidi w:val="0"/>
        <w:spacing w:lineRule="auto" w:line="240" w:before="0" w:after="240"/>
        <w:ind w:left="0" w:right="0" w:firstLine="183"/>
        <w:jc w:val="both"/>
        <w:rPr/>
      </w:pPr>
      <w:r>
        <w:rPr>
          <w:rFonts w:ascii="Times New Roman;sans-serif" w:hAnsi="Times New Roman;sans-serif"/>
          <w:b w:val="false"/>
          <w:color w:val="000000"/>
          <w:sz w:val="22"/>
        </w:rPr>
        <w:t xml:space="preserve">(xxvi)Liens securing Indebtedness permitted by </w:t>
      </w:r>
      <w:r>
        <w:rPr>
          <w:rFonts w:ascii="Times New Roman;sans-serif" w:hAnsi="Times New Roman;sans-serif"/>
          <w:b w:val="false"/>
          <w:color w:val="000000"/>
          <w:sz w:val="22"/>
          <w:u w:val="single"/>
        </w:rPr>
        <w:t>Section 8.03(q)</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Investments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Make any Investments, except: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(i)Investments held in the form of cash, Cash Equivalents or other permitted investments under CFTC Rule 1.25;</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(ii)Investments existing as of the Seventh Amendment Effective Date and set forth in </w:t>
      </w:r>
      <w:r>
        <w:rPr>
          <w:rFonts w:ascii="Times New Roman;sans-serif" w:hAnsi="Times New Roman;sans-serif"/>
          <w:b w:val="false"/>
          <w:color w:val="000000"/>
          <w:sz w:val="22"/>
          <w:u w:val="single"/>
        </w:rPr>
        <w:t>Schedule 8.02</w:t>
      </w:r>
      <w:r>
        <w:rPr>
          <w:color w:val="000000"/>
        </w:rPr>
        <w:t xml:space="preserve"> </w:t>
      </w:r>
      <w:r>
        <w:rPr>
          <w:rFonts w:ascii="Times New Roman;sans-serif" w:hAnsi="Times New Roman;sans-serif"/>
          <w:b w:val="false"/>
          <w:color w:val="000000"/>
          <w:sz w:val="22"/>
        </w:rPr>
        <w:t xml:space="preserve">and any modification, replacement, renewal or extension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amount of the original Investment is not increased except as permitted by this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and the terms and conditions of such modified, replaced, renewed or extended Investment shall not be materially less favorable, taken as a whole, to the Loan Parties than the Investment being modified, replaced, renewed or extended;</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(iii)Investments in any Person that is a Loan Party prior to giving effect to such Investment;</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(iv)Investments by any Subsidiary that is not a Loan Party in any other Subsidiary that is not a Loan Party;</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(vi)Guarantees permitted by </w:t>
      </w:r>
      <w:r>
        <w:rPr>
          <w:rFonts w:ascii="Times New Roman;sans-serif" w:hAnsi="Times New Roman;sans-serif"/>
          <w:b w:val="false"/>
          <w:color w:val="000000"/>
          <w:sz w:val="22"/>
          <w:u w:val="single"/>
        </w:rPr>
        <w:t>Section 8.03</w:t>
      </w:r>
      <w:r>
        <w:rPr>
          <w:rFonts w:ascii="Times New Roman;sans-serif" w:hAnsi="Times New Roman;sans-serif"/>
          <w:b w:val="false"/>
          <w:color w:val="000000"/>
          <w:sz w:val="22"/>
        </w:rPr>
        <w:t>;</w:t>
      </w:r>
    </w:p>
    <w:p>
      <w:pPr>
        <w:pStyle w:val="TextBody"/>
        <w:bidi w:val="0"/>
        <w:spacing w:lineRule="auto" w:line="240" w:before="0" w:after="240"/>
        <w:ind w:left="0" w:right="0" w:firstLine="342"/>
        <w:jc w:val="both"/>
        <w:rPr>
          <w:rFonts w:ascii="Times New Roman;sans-serif" w:hAnsi="Times New Roman;sans-serif"/>
          <w:b w:val="false"/>
          <w:color w:val="000000"/>
          <w:sz w:val="22"/>
        </w:rPr>
      </w:pPr>
      <w:r>
        <w:rPr>
          <w:rFonts w:ascii="Times New Roman;sans-serif" w:hAnsi="Times New Roman;sans-serif"/>
          <w:b w:val="false"/>
          <w:color w:val="000000"/>
          <w:sz w:val="22"/>
        </w:rPr>
        <w:t>(vii)Investments in the form of Permitted Acquisitions;</w:t>
      </w:r>
    </w:p>
    <w:p>
      <w:pPr>
        <w:pStyle w:val="TextBody"/>
        <w:bidi w:val="0"/>
        <w:spacing w:lineRule="auto" w:line="240" w:before="0" w:after="240"/>
        <w:ind w:left="0" w:right="0" w:firstLine="281"/>
        <w:jc w:val="both"/>
        <w:rPr/>
      </w:pPr>
      <w:r>
        <w:rPr>
          <w:rFonts w:ascii="Times New Roman;sans-serif" w:hAnsi="Times New Roman;sans-serif"/>
          <w:b w:val="false"/>
          <w:color w:val="000000"/>
          <w:sz w:val="22"/>
        </w:rPr>
        <w:t xml:space="preserve">(viii)Investments after the Seventh Amendment Effective Date by any Loan Party in any Subsidiary that is not a Loan Party in an aggregate amount not to exceed (tested solely at the time of each such Investment) the greater of (i) $150,000,000, and (ii) an amount equal to thirty percent (30%) of Consolidated Total Stockholders’ Equity (determined as of the end of the most recently ended fiscal year of the Borrower for which financial statements have been delivered pursuant to </w:t>
      </w:r>
      <w:r>
        <w:rPr>
          <w:rFonts w:ascii="Times New Roman;sans-serif" w:hAnsi="Times New Roman;sans-serif"/>
          <w:b w:val="false"/>
          <w:color w:val="000000"/>
          <w:sz w:val="22"/>
          <w:u w:val="single"/>
        </w:rPr>
        <w:t>Section 7.01(a)</w:t>
      </w:r>
      <w:r>
        <w:rPr>
          <w:rFonts w:ascii="Times New Roman;sans-serif" w:hAnsi="Times New Roman;sans-serif"/>
          <w:b w:val="false"/>
          <w:color w:val="000000"/>
          <w:sz w:val="22"/>
        </w:rPr>
        <w:t>);</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(ix)any Permitted Repos; </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(x)Investments in marketable securities, commodities, forwards, futures, derivatives and other assets in connection with trading, underwriting, selling to customers, acting as a broker or acting as a market intermediary, all in the ordinary course of business;</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(xi)promissory notes and other non-cash consideration received in connection with Dispositions permitted by </w:t>
      </w:r>
      <w:r>
        <w:rPr>
          <w:rFonts w:ascii="Times New Roman;sans-serif" w:hAnsi="Times New Roman;sans-serif"/>
          <w:b w:val="false"/>
          <w:color w:val="000000"/>
          <w:sz w:val="22"/>
          <w:u w:val="single"/>
        </w:rPr>
        <w:t>Section 8.05</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 xml:space="preserve">(xii)to the extent constituting an Investment, Swap Contracts to the extent permitted by </w:t>
      </w:r>
      <w:r>
        <w:rPr>
          <w:rFonts w:ascii="Times New Roman;sans-serif" w:hAnsi="Times New Roman;sans-serif"/>
          <w:b w:val="false"/>
          <w:color w:val="000000"/>
          <w:sz w:val="22"/>
          <w:u w:val="single"/>
        </w:rPr>
        <w:t>Section 8.03(d)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    Investments made with the Segregated Funds and other customer funds to the extent such Investments are made in accordance with the Borrower’s approved investment policies for Segregated Funds and such customer funds;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    Investments of a nature not contemplated in the foregoing clauses in an amount not to exceed $15,000,000 in the aggregate at any time outstanding.</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Indebtedness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Create, incur, assume or suffer to exist any Indebtedness, except: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(i)Indebtedness under the Loan Documents;</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(ii)Indebtedness existing as of the Seventh Amendment Effective Date and set forth in </w:t>
      </w:r>
      <w:r>
        <w:rPr>
          <w:rFonts w:ascii="Times New Roman;sans-serif" w:hAnsi="Times New Roman;sans-serif"/>
          <w:b w:val="false"/>
          <w:color w:val="000000"/>
          <w:sz w:val="22"/>
          <w:u w:val="single"/>
        </w:rPr>
        <w:t>Schedule 8.03</w:t>
      </w:r>
      <w:r>
        <w:rPr>
          <w:color w:val="000000"/>
        </w:rPr>
        <w:t xml:space="preserve"> </w:t>
      </w:r>
      <w:r>
        <w:rPr>
          <w:rFonts w:ascii="Times New Roman;sans-serif" w:hAnsi="Times New Roman;sans-serif"/>
          <w:b w:val="false"/>
          <w:color w:val="000000"/>
          <w:sz w:val="22"/>
        </w:rPr>
        <w:t>and any Permitted Refinancings of such Indebtedness;</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 xml:space="preserve">(iii)intercompany Indebtedness permitted under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(iv)obligations (contingent or otherwise) existing or arising under any Swap Contract;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such obligations are (or were) entered into by such Person in the ordinary course of business and not for purposes of speculation or taking a “market view;”</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 xml:space="preserve">(v)purchase money Indebtedness (including obligations in respect of Capital Leases or Synthetic Leases) incurred to finance the purchase, construction or improvement of fixed assets, and renewals, refinancings and extensions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the aggregate outstanding principal amount of all such Indebtedness shall not exceed $25,000,000 at any one time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outstanding; and (ii) such Indebtedness when incurred shall not exceed the purchase price of the asset(s) financed; and Permitted Refinancings of such Indebtedness;</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(vi)Permitted Facilities, including any amendments to such Permitted Facilities to increase the amount of such facilities;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at the time of entering into any Permitted Facility or any amendment that increases the amount of such facilities (i) no Default has occurred and is continuing and (ii) after giving effect to such Permitted Facility on a Pro Forma Basis (assuming full utilization of such Permitted Facility), the Borrower would be in compliance with the Financial Covenant set forth in </w:t>
      </w:r>
      <w:r>
        <w:rPr>
          <w:rFonts w:ascii="Times New Roman;sans-serif" w:hAnsi="Times New Roman;sans-serif"/>
          <w:b w:val="false"/>
          <w:color w:val="000000"/>
          <w:sz w:val="22"/>
          <w:u w:val="single"/>
        </w:rPr>
        <w:t>Section 8.11(b)</w:t>
      </w:r>
      <w:r>
        <w:rPr>
          <w:rFonts w:ascii="Times New Roman;sans-serif" w:hAnsi="Times New Roman;sans-serif"/>
          <w:b w:val="false"/>
          <w:color w:val="000000"/>
          <w:sz w:val="22"/>
        </w:rPr>
        <w:t>; and Permitted Refinancings of such Indebtedness;</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 xml:space="preserve">(vii)Indebtedness of any Person that becomes a Subsidiary after the Closing Date as a result of a Permitted Acquisition or the GCAP Acquisition, or otherwise assumed in connection with a Permitted Acquisition or the GCAP Acquisition;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such Indebtedness (and any Guarantees thereof) exists at the time of such Permitted Acquisition or the GCAP Acquisition, as applicable, and is not created in contemplation of or in connection with such Permitted Acquisition or the GCAP Acquisition, as applicable and Permitted Refinancings of such Indebtedness;</w:t>
      </w:r>
    </w:p>
    <w:p>
      <w:pPr>
        <w:pStyle w:val="TextBody"/>
        <w:bidi w:val="0"/>
        <w:spacing w:lineRule="auto" w:line="240" w:before="0" w:after="240"/>
        <w:ind w:left="0" w:right="0" w:firstLine="281"/>
        <w:jc w:val="both"/>
        <w:rPr>
          <w:rFonts w:ascii="Times New Roman;sans-serif" w:hAnsi="Times New Roman;sans-serif"/>
          <w:b w:val="false"/>
          <w:color w:val="000000"/>
          <w:sz w:val="22"/>
        </w:rPr>
      </w:pPr>
      <w:r>
        <w:rPr>
          <w:rFonts w:ascii="Times New Roman;sans-serif" w:hAnsi="Times New Roman;sans-serif"/>
          <w:b w:val="false"/>
          <w:color w:val="000000"/>
          <w:sz w:val="22"/>
        </w:rPr>
        <w:t>(viii)other Indebtedness in an aggregate principal amount not to exceed $15,000,000 at any one time outstanding;</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(ix)Guarantees with respect to Indebtedness permitted under this </w:t>
      </w:r>
      <w:r>
        <w:rPr>
          <w:rFonts w:ascii="Times New Roman;sans-serif" w:hAnsi="Times New Roman;sans-serif"/>
          <w:b w:val="false"/>
          <w:color w:val="000000"/>
          <w:sz w:val="22"/>
          <w:u w:val="single"/>
        </w:rPr>
        <w:t>Section 8.03</w:t>
      </w:r>
      <w:r>
        <w:rPr>
          <w:color w:val="000000"/>
        </w:rPr>
        <w:t xml:space="preserve"> </w:t>
      </w:r>
      <w:r>
        <w:rPr>
          <w:rFonts w:ascii="Times New Roman;sans-serif" w:hAnsi="Times New Roman;sans-serif"/>
          <w:b w:val="false"/>
          <w:color w:val="000000"/>
          <w:sz w:val="22"/>
        </w:rPr>
        <w:t>and Guarantees provided by the Borrower or any of its Subsidiaries of obligations incurred by any Subsidiary of the Borrower to counterparties in the ordinary course of its trading and market making business;</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(x)Indebtedness arising from agreements for indemnification, purchase price adjustment obligations and earn-outs or other similar obligations, in each case incurred in connection with any Permitted Acquisition;</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(xi)unsecured Indebtedness of the Borrower under unsecured convertible notes, retail notes and other senior or subordinated unsecured notes, in an aggregate principal amount not to exceed $300,000,000;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in each case, (i) at the time of incurrence of such Indebtedness, no Default has occurred and is continuing, (ii) such notes shall not mature at any time on or prior to the date that is ninety-one (91) days after the then-Latest Maturity Date (and the terms of such Indebtedness shall not provide for any scheduled repayment, mandatory redemption, mandatory conversion (except for a conversion into common equity of the Borrower) or sinking fund obligations at any time on or prior to the date that is ninety-one (91) days after the then-Latest Maturity Date), (iii) such notes shall not include any financial covenants that are more restrictive in any respect on the Borrower than the Financial Covenants, and (iv) if such Indebtedness is subordinated in right of payment to the Obligations, it shall be subject to a Subordination Agreement;</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 xml:space="preserve">(xii)Indebtedness arising from the honoring by a bank or other financial institution of a check, draft or similar instrument inadvertently (except in the case of daylight overdrafts) drawn against insufficient funds in the ordinary course of business;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such Indebtedness is extinguished within five (5) Business Days of receiving notice thereof;</w:t>
      </w:r>
    </w:p>
    <w:p>
      <w:pPr>
        <w:pStyle w:val="TextBody"/>
        <w:bidi w:val="0"/>
        <w:spacing w:lineRule="auto" w:line="240" w:before="0" w:after="240"/>
        <w:ind w:left="0" w:right="0" w:firstLine="281"/>
        <w:jc w:val="both"/>
        <w:rPr/>
      </w:pPr>
      <w:r>
        <w:rPr>
          <w:rFonts w:ascii="Times New Roman;sans-serif" w:hAnsi="Times New Roman;sans-serif"/>
          <w:b w:val="false"/>
          <w:color w:val="000000"/>
          <w:sz w:val="22"/>
        </w:rPr>
        <w:t xml:space="preserve">(xiii)Indebtedness with respect to performance bonds, surety bonds or appeal bonds required in the ordinary course of business or in connection with the enforcement of rights or claims of Borrower or any of its Subsidiaries or in connection with judgments that do not result in an Event of Default;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aggregate outstanding amount of all such performance bonds and surety bonds permitted by this </w:t>
      </w:r>
      <w:r>
        <w:rPr>
          <w:rFonts w:ascii="Times New Roman;sans-serif" w:hAnsi="Times New Roman;sans-serif"/>
          <w:b w:val="false"/>
          <w:color w:val="000000"/>
          <w:sz w:val="22"/>
          <w:u w:val="single"/>
        </w:rPr>
        <w:t>clause (m)</w:t>
      </w:r>
      <w:r>
        <w:rPr>
          <w:color w:val="000000"/>
        </w:rPr>
        <w:t xml:space="preserve"> </w:t>
      </w:r>
      <w:r>
        <w:rPr>
          <w:rFonts w:ascii="Times New Roman;sans-serif" w:hAnsi="Times New Roman;sans-serif"/>
          <w:b w:val="false"/>
          <w:color w:val="000000"/>
          <w:sz w:val="22"/>
        </w:rPr>
        <w:t xml:space="preserve">shall not at any time exceed $10,000,000; </w:t>
      </w:r>
    </w:p>
    <w:p>
      <w:pPr>
        <w:pStyle w:val="TextBody"/>
        <w:bidi w:val="0"/>
        <w:spacing w:lineRule="auto" w:line="240" w:before="0" w:after="240"/>
        <w:ind w:left="0" w:right="0" w:firstLine="293"/>
        <w:jc w:val="both"/>
        <w:rPr>
          <w:rFonts w:ascii="Times New Roman;sans-serif" w:hAnsi="Times New Roman;sans-serif"/>
          <w:b w:val="false"/>
          <w:color w:val="000000"/>
          <w:sz w:val="22"/>
        </w:rPr>
      </w:pPr>
      <w:r>
        <w:rPr>
          <w:rFonts w:ascii="Times New Roman;sans-serif" w:hAnsi="Times New Roman;sans-serif"/>
          <w:b w:val="false"/>
          <w:color w:val="000000"/>
          <w:sz w:val="22"/>
        </w:rPr>
        <w:t>(xiv)short-term commodities financings of StoneX Financial in an aggregate amount not to exceed $150,000,000 at any time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354"/>
        <w:jc w:val="both"/>
        <w:rPr>
          <w:rFonts w:ascii="Times New Roman;sans-serif" w:hAnsi="Times New Roman;sans-serif"/>
          <w:b w:val="false"/>
          <w:color w:val="000000"/>
          <w:sz w:val="22"/>
        </w:rPr>
      </w:pPr>
      <w:r>
        <w:rPr>
          <w:rFonts w:ascii="Times New Roman;sans-serif" w:hAnsi="Times New Roman;sans-serif"/>
          <w:b w:val="false"/>
          <w:color w:val="000000"/>
          <w:sz w:val="22"/>
        </w:rPr>
        <w:t>(xv)intraday financings of StoneX Financial with respect to Permitted Repos in an aggregate amount not to exceed $25,000,000;</w:t>
      </w:r>
    </w:p>
    <w:p>
      <w:pPr>
        <w:pStyle w:val="TextBody"/>
        <w:bidi w:val="0"/>
        <w:spacing w:lineRule="auto" w:line="240" w:before="0" w:after="240"/>
        <w:ind w:left="0" w:right="0" w:firstLine="293"/>
        <w:jc w:val="both"/>
        <w:rPr>
          <w:rFonts w:ascii="Times New Roman;sans-serif" w:hAnsi="Times New Roman;sans-serif"/>
          <w:b w:val="false"/>
          <w:color w:val="000000"/>
          <w:sz w:val="22"/>
        </w:rPr>
      </w:pPr>
      <w:r>
        <w:rPr>
          <w:rFonts w:ascii="Times New Roman;sans-serif" w:hAnsi="Times New Roman;sans-serif"/>
          <w:b w:val="false"/>
          <w:color w:val="000000"/>
          <w:sz w:val="22"/>
        </w:rPr>
        <w:t>(xvi)Indebtedness outstanding under the Second Lien Debt Documents; and</w:t>
      </w:r>
    </w:p>
    <w:p>
      <w:pPr>
        <w:pStyle w:val="TextBody"/>
        <w:bidi w:val="0"/>
        <w:spacing w:lineRule="auto" w:line="240" w:before="0" w:after="240"/>
        <w:ind w:left="0" w:right="0" w:firstLine="232"/>
        <w:jc w:val="both"/>
        <w:rPr/>
      </w:pPr>
      <w:r>
        <w:rPr>
          <w:rFonts w:ascii="Times New Roman;sans-serif" w:hAnsi="Times New Roman;sans-serif"/>
          <w:b w:val="false"/>
          <w:color w:val="000000"/>
          <w:sz w:val="22"/>
        </w:rPr>
        <w:t xml:space="preserve">(xvii)Indebtedness in an amount not to exceed $550,000,000 to refinance the Second Lien Debt and for other working capital purposes, which shall consist of one or more series of secured or unsecured bonds, debentures, notes or similar instruments, or term loans, in each case, on terms and conditions as agreed between the Borrower and the lenders providing any such indebtedness;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 to the extent the net proceeds from such Indebtedness exceed the amounts required to refinance the Second Lien Debt, such net proceeds shall first be utilized to repay amounts then outstanding under this Agreement and then utilized for other working capital purposes, including, without limitation, to repay other Indebtedness and to make Permitted Acquisitions, (ii) maturity date of such Indebtedness may not be earlier than the Latest Maturity Date under this Agreement, (iii) the Weighted Average Life to Maturity of such Indebtedness may not be shorter than the remaining Weighted Average Life to Maturity of any then-existing term loans under this Agreement, (iv) if such Indebtedness is secured, (A) such Indebtedness shall be secured by the Collateral on a pari passu basis or a junior basis, and shall not be secured by any property or assets not securing this Agreement (giving effect to any security interest in property or assets that are substantially concurrently provided for the benefit of the holders of the obligations under this Agreement) and (B) to the extent such Indebtedness is not incurred under this Agreement, the holders of such Indebtedness (or trustee or other agent under the agreement pursuant to which such Indebtedness is issued) shall have executed and delivered an intercreditor agreement in form and substance reasonably satisfactory to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in the case of any Indebtedness secured on a junior basis, the terms of the existing Intercreditor Agreement for the Second Lien Debt shall be deemed to be reasonable), (v) there shall be no obligors with respect to such Indebtedness that are not also obligors under this Agreement (giving effect to any obligors that are substantially concurrently joined as obligors under this Agreement) and (vi) such Indebtedness shall contain covenants, events of default, payment and other terms that are customary for similar Indebtedness in light of then-prevailing market conditions and, when taken as a whole, that are not materially more restrictive to the Borrower and its Subsidiaries than, those set forth in the Loan Documents (other than (A) covenants or other provisions applicable only to periods after the Latest Maturity Date, and (B) covenants or other provisions that are added to the Loan Documents for the benefit of the Lenders).</w:t>
      </w:r>
    </w:p>
    <w:p>
      <w:pPr>
        <w:pStyle w:val="TextBody"/>
        <w:bidi w:val="0"/>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u w:val="single"/>
        </w:rPr>
        <w:t>Fundamental Changes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Merge, dissolve, liquidate or consolidate with or into another Person, except that so long as no Default exists or would result therefrom: (a) the Borrower may merge or consolidate with any of its Subsidiaries;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Borrower is the continuing or surviving Person; (b) any Subsidiary may merge or consolidate with any other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a Loan Party is a party to such transaction, the continuing or surviving Person is a Loan Party; (c) the Borrower or any Subsidiary may merge with any other Person in connection with a Permitted Acquisition;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 if the Borrower is a party to such transaction, the Borrower is the continuing or surviving Person and (ii) if a Loan Party is a party to such transaction, such Loan Party is the surviving Person; and (d) any Subsidiary may dissolve, liquidate or wind up its affairs at any time provided that such dissolution, liquidation or winding up, as applicable, could not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u w:val="single"/>
        </w:rPr>
        <w:t>Dispositions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Make any Disposition except: (a) Permitted Transfers; and (b) other Dispositions by Borrower and its Subsidiaries of property;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at the time of such Disposition and after giving effect thereto, no Default shall exist or would result from such Disposition, (ii) the aggregate net book value of all of the assets sold or otherwise disposed of pursuant to this </w:t>
      </w:r>
      <w:r>
        <w:rPr>
          <w:rFonts w:ascii="Times New Roman;sans-serif" w:hAnsi="Times New Roman;sans-serif"/>
          <w:b w:val="false"/>
          <w:color w:val="000000"/>
          <w:sz w:val="22"/>
          <w:u w:val="single"/>
        </w:rPr>
        <w:t>Section 8.05(b)</w:t>
      </w:r>
      <w:r>
        <w:rPr>
          <w:color w:val="000000"/>
        </w:rPr>
        <w:t xml:space="preserve"> </w:t>
      </w:r>
      <w:r>
        <w:rPr>
          <w:rFonts w:ascii="Times New Roman;sans-serif" w:hAnsi="Times New Roman;sans-serif"/>
          <w:b w:val="false"/>
          <w:color w:val="000000"/>
          <w:sz w:val="22"/>
        </w:rPr>
        <w:t xml:space="preserve">in any fiscal year shall be less than $25,000,000, (iii) the consideration received for such property shall be in an amount at least equal to the fair market value thereof, (iv) no less than 90% of such consideration shall be paid in cash and Cash Equivalents, which shall be paid contemporaneous with consummation of such Disposition, (v)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such Disposition does not involve the sale or other disposition of a minority equity interest in any Subsidiary, and (vi) such Disposition does not involve a sale or other disposition of receivables other than receivables owned by or attributable to other property concurrently being disposed of in a Disposition otherwise permitted under this </w:t>
      </w:r>
      <w:r>
        <w:rPr>
          <w:rFonts w:ascii="Times New Roman;sans-serif" w:hAnsi="Times New Roman;sans-serif"/>
          <w:b w:val="false"/>
          <w:color w:val="000000"/>
          <w:sz w:val="22"/>
          <w:u w:val="single"/>
        </w:rPr>
        <w:t>Section 8.05(b)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u w:val="single"/>
        </w:rPr>
        <w:t>Restricted Payments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Declare or make any Restricted Payment, or incur any obligation (contingent or otherwise) to do so, except that: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(i)each Subsidiary may make Restricted Payments to Persons that own Equity Interests in such Subsidiary, ratably according to their respective holdings of the type of Equity Interest in respect of which such Restricted Payment is being made;</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(ii)each Loan Party and each Subsidiary may declare and make dividend payments or other distributions payable solely in common Equity Interests of such Person;</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 xml:space="preserve">(iii)so long as no Default exists or would result therefrom, the Borrower may make other Restricted Payments in an aggregate amount not to exceed during any fiscal year of the Borrower, the greater of (i) $45,000,000 and (ii) an amount equal to fifty percent (50%) of Consolidated Net Income (determined as of the end of the most recently ended fiscal year of the Borrower for which financial statements have been delivered pursuant to </w:t>
      </w:r>
      <w:r>
        <w:rPr>
          <w:rFonts w:ascii="Times New Roman;sans-serif" w:hAnsi="Times New Roman;sans-serif"/>
          <w:b w:val="false"/>
          <w:color w:val="000000"/>
          <w:sz w:val="22"/>
          <w:u w:val="single"/>
        </w:rPr>
        <w:t>Section 7.01(a)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after giving effect to any such Restricted Payment on a Pro Forma Basis, the Borrower would be in compliance with the Financial Covenants;</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(iv)the Borrower may purchase, redeem or otherwise acquire Equity Interests issued by it with the proceeds received from the substantially concurrent issue of new shares of its common stock or other common Equity Interests;</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(v)repurchases of Equity Interests in the Borrower or any Subsidiary deemed to occur upon exercise of stock options, warrants or other convertible securities, to the extent that such Equity Interests represent a portion of the exercise price of or tax withholding in respect of such options, warrants or other convertible securities;</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(vi)the Borrower may make cash payments in lieu of the issuance of fractional shares in connection with the exercise of warrants, options or other securities convertible into or exchangeable for Equity Interests of the Borrower or any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any such cash payment shall not be for the purpose of evading the limitations of this Agreement; and</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 xml:space="preserve">(vii)so long as no Default shall have occurred and be continuing before or after giving effect thereto, the Borrower may make regularly scheduled payments of interest in cash on convertible notes permitted by </w:t>
      </w:r>
      <w:r>
        <w:rPr>
          <w:rFonts w:ascii="Times New Roman;sans-serif" w:hAnsi="Times New Roman;sans-serif"/>
          <w:b w:val="false"/>
          <w:color w:val="000000"/>
          <w:sz w:val="22"/>
          <w:u w:val="single"/>
        </w:rPr>
        <w:t>Section 8.03(k)</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8.03(q)</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u w:val="single"/>
        </w:rPr>
        <w:t>Change in Nature of Business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Engage in any material line of business substantially different from those lines of business conducted by the Loan Parties and their Subsidiaries on the Closing Date or any business substantially related or incidental thereto.</w:t>
      </w:r>
    </w:p>
    <w:p>
      <w:pPr>
        <w:pStyle w:val="TextBody"/>
        <w:bidi w:val="0"/>
        <w:spacing w:lineRule="auto" w:line="240" w:before="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u w:val="single"/>
        </w:rPr>
        <w:t>Transactions with Affiliates and Insiders</w:t>
      </w:r>
      <w:r>
        <w:rPr>
          <w:rFonts w:ascii="Times New Roman;sans-serif" w:hAnsi="Times New Roman;sans-serif"/>
          <w:b/>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Enter into or permit to exist any transaction or series of transactions with any officer, director or Affiliate of such Person other than (a) advances of working capital to any Loan Party, (b) transfers of cash and assets to any Loan Party, (c) intercompany transactions expressly permitted by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8.03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8.04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8.05</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8.06</w:t>
      </w:r>
      <w:r>
        <w:rPr>
          <w:rFonts w:ascii="Times New Roman;sans-serif" w:hAnsi="Times New Roman;sans-serif"/>
          <w:b w:val="false"/>
          <w:color w:val="000000"/>
          <w:sz w:val="22"/>
        </w:rPr>
        <w:t xml:space="preserve">, (d) normal and reasonable compensation, employment and severance arrangements with current, former and future officers and directors in the ordinary course of business, (e) reimbursement of expenses of officers and directors, (f) transactions pursuant to stock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option plans and employee benefit plans and arrangements in the ordinary course of business and (g) except as otherwise specifically limited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pStyle w:val="TextBody"/>
        <w:bidi w:val="0"/>
        <w:spacing w:lineRule="auto" w:line="240" w:before="0" w:after="240"/>
        <w:ind w:left="0" w:right="0" w:firstLine="720"/>
        <w:jc w:val="both"/>
        <w:rPr/>
      </w:pPr>
      <w:r>
        <w:rPr>
          <w:rFonts w:ascii="Times New Roman;sans-serif" w:hAnsi="Times New Roman;sans-serif"/>
          <w:b/>
          <w:color w:val="000000"/>
          <w:sz w:val="22"/>
        </w:rPr>
        <w:t>1.09</w:t>
      </w:r>
      <w:r>
        <w:rPr>
          <w:rFonts w:ascii="Times New Roman;sans-serif" w:hAnsi="Times New Roman;sans-serif"/>
          <w:b/>
          <w:color w:val="000000"/>
          <w:sz w:val="22"/>
          <w:u w:val="single"/>
        </w:rPr>
        <w:t>Burdensome Agreements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Other than those in existence as of the Seventh Amendment Effective Date and set forth on </w:t>
      </w:r>
      <w:r>
        <w:rPr>
          <w:rFonts w:ascii="Times New Roman;sans-serif" w:hAnsi="Times New Roman;sans-serif"/>
          <w:b w:val="false"/>
          <w:color w:val="000000"/>
          <w:sz w:val="22"/>
          <w:u w:val="single"/>
        </w:rPr>
        <w:t>Schedule 8.09</w:t>
      </w:r>
      <w:r>
        <w:rPr>
          <w:rFonts w:ascii="Times New Roman;sans-serif" w:hAnsi="Times New Roman;sans-serif"/>
          <w:b w:val="false"/>
          <w:color w:val="000000"/>
          <w:sz w:val="22"/>
        </w:rPr>
        <w:t xml:space="preserve">, enter into, or permit to exist, any Contractual Obligation that: (a) encumbers or restricts the ability of any such Person to (i) make Restricted Payments to any Loan Party, (ii) pay any Indebtedness or other obligation owed to any Loan Party, (iii) make loans or advances to any Loan Party, (iv)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w:t>
      </w:r>
      <w:r>
        <w:rPr>
          <w:rFonts w:ascii="Times New Roman;sans-serif" w:hAnsi="Times New Roman;sans-serif"/>
          <w:b w:val="false"/>
          <w:color w:val="000000"/>
          <w:sz w:val="22"/>
          <w:u w:val="single"/>
        </w:rPr>
        <w:t>clauses (i)</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(v)</w:t>
      </w:r>
      <w:r>
        <w:rPr>
          <w:color w:val="000000"/>
        </w:rPr>
        <w:t xml:space="preserve"> </w:t>
      </w:r>
      <w:r>
        <w:rPr>
          <w:rFonts w:ascii="Times New Roman;sans-serif" w:hAnsi="Times New Roman;sans-serif"/>
          <w:b w:val="false"/>
          <w:color w:val="000000"/>
          <w:sz w:val="22"/>
        </w:rPr>
        <w:t xml:space="preserve">above) for (A) this Agreement and the other Loan Documents, (B) any document or instrument governing Indebtedness incurred pursuant to </w:t>
      </w:r>
      <w:r>
        <w:rPr>
          <w:rFonts w:ascii="Times New Roman;sans-serif" w:hAnsi="Times New Roman;sans-serif"/>
          <w:b w:val="false"/>
          <w:color w:val="000000"/>
          <w:sz w:val="22"/>
          <w:u w:val="single"/>
        </w:rPr>
        <w:t>Section 8.03(e)</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any such restriction contained therein relates only to the asset or assets constructed or acquired in connection therewith), (C) any Permitted Lien or any document or instrument governing any Permitted Lien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any such restriction contained therein relates only to the asset or assets subject to such Permitted Lien), (D) customary restrictions and conditions contained in any agreement relating to the sale of any property permitted under </w:t>
      </w:r>
      <w:r>
        <w:rPr>
          <w:rFonts w:ascii="Times New Roman;sans-serif" w:hAnsi="Times New Roman;sans-serif"/>
          <w:b w:val="false"/>
          <w:color w:val="000000"/>
          <w:sz w:val="22"/>
          <w:u w:val="single"/>
        </w:rPr>
        <w:t>Section 8.05</w:t>
      </w:r>
      <w:r>
        <w:rPr>
          <w:color w:val="000000"/>
        </w:rPr>
        <w:t xml:space="preserve"> </w:t>
      </w:r>
      <w:r>
        <w:rPr>
          <w:rFonts w:ascii="Times New Roman;sans-serif" w:hAnsi="Times New Roman;sans-serif"/>
          <w:b w:val="false"/>
          <w:color w:val="000000"/>
          <w:sz w:val="22"/>
        </w:rPr>
        <w:t>pending the consummation of such sale, (E) restrictions related to Indebtedness of any Person that becomes a Subsidiary after the Closing Date as a result of a Permitted Acquisition or the GCAP Acquisition, or otherwise assumed in connection with a Permitted Acquisition or the GCAP Acquisition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Indebtedness (and any Guarantees thereof) exists at the time of such Permitted Acquisition or the GCAP Acquisition, as applicable, is not created in contemplation of or in connection with such Permitted Acquisition or the GCAP Acquisition, as applicable, and applies only to the property acquired in such Permitted Acquisition or the GCAP Acquisition, as applicable, and refinancings in respect thereof), (F) the StoneX Commodity Facility, or (G) the Second Lien Debt Documents or Indebtedness permitted by </w:t>
      </w:r>
      <w:r>
        <w:rPr>
          <w:rFonts w:ascii="Times New Roman;sans-serif" w:hAnsi="Times New Roman;sans-serif"/>
          <w:b w:val="false"/>
          <w:color w:val="000000"/>
          <w:sz w:val="22"/>
          <w:u w:val="single"/>
        </w:rPr>
        <w:t>Section 8.03(q)</w:t>
      </w:r>
      <w:r>
        <w:rPr>
          <w:rFonts w:ascii="Times New Roman;sans-serif" w:hAnsi="Times New Roman;sans-serif"/>
          <w:b w:val="false"/>
          <w:color w:val="000000"/>
          <w:sz w:val="22"/>
        </w:rPr>
        <w:t>; or (b) requires the grant of any security for any obligation if such property is given as security for the Obligations.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1.j</w:t>
      </w:r>
      <w:r>
        <w:rPr>
          <w:rFonts w:ascii="Times New Roman;sans-serif" w:hAnsi="Times New Roman;sans-serif"/>
          <w:b/>
          <w:color w:val="000000"/>
          <w:sz w:val="22"/>
          <w:u w:val="single"/>
        </w:rPr>
        <w:t>Use of Proceeds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Use the proceeds of any Credit Extension, whether immediately, incidentally or ultimately, to purchase or carry margin stock (within the meaning of Regulation U of the FRB) or to extend credit to others for the purpose of purchasing or carrying margin stock or to refund indebtedness originally incurred for such purpose, except, in the case of any Subsidiary, in compliance with Regulation T, U and X of the FRB.</w:t>
      </w:r>
    </w:p>
    <w:p>
      <w:pPr>
        <w:pStyle w:val="TextBody"/>
        <w:bidi w:val="0"/>
        <w:spacing w:lineRule="auto" w:line="240" w:before="0" w:after="240"/>
        <w:ind w:left="0" w:right="0" w:firstLine="720"/>
        <w:jc w:val="both"/>
        <w:rPr/>
      </w:pPr>
      <w:r>
        <w:rPr>
          <w:rFonts w:ascii="Times New Roman;sans-serif" w:hAnsi="Times New Roman;sans-serif"/>
          <w:b/>
          <w:color w:val="000000"/>
          <w:sz w:val="22"/>
        </w:rPr>
        <w:t>1.k</w:t>
      </w:r>
      <w:r>
        <w:rPr>
          <w:rFonts w:ascii="Times New Roman;sans-serif" w:hAnsi="Times New Roman;sans-serif"/>
          <w:b/>
          <w:color w:val="000000"/>
          <w:sz w:val="22"/>
          <w:u w:val="single"/>
        </w:rPr>
        <w:t>Financial Covenants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Consolidated Tangible Net Worth</w:t>
      </w:r>
      <w:r>
        <w:rPr>
          <w:rFonts w:ascii="Times New Roman;sans-serif" w:hAnsi="Times New Roman;sans-serif"/>
          <w:b w:val="false"/>
          <w:color w:val="000000"/>
          <w:sz w:val="22"/>
        </w:rPr>
        <w:t>. Permit Consolidated Tangible Net Worth as of the end of any fiscal quarter of the Borrower to be less than the sum of $590,774,332.00, increased on a cumulative basis as of the end of each fiscal quarter of the Borrower, commencing with the fiscal quarter ending March 31, 2022, by an amount equal to 50% of Consolidated Net Income (to the extent positive) for the fiscal quarter then ended plus 50% of amount of all Net Cash Proceeds from any Equity Issuances after the Closing Date.</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Consolidated Funded Debt to Net Worth Ratio</w:t>
      </w:r>
      <w:r>
        <w:rPr>
          <w:rFonts w:ascii="Times New Roman;sans-serif" w:hAnsi="Times New Roman;sans-serif"/>
          <w:b w:val="false"/>
          <w:color w:val="000000"/>
          <w:sz w:val="22"/>
        </w:rPr>
        <w:t>. Permit the Consolidated Funded Debt to Net Worth Ratio as of the end of any fiscal quarter of the Borrower to be greater than 2.50 to 1.0.</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Consolidated Fixed Charge Coverage Ratio</w:t>
      </w:r>
      <w:r>
        <w:rPr>
          <w:rFonts w:ascii="Times New Roman;sans-serif" w:hAnsi="Times New Roman;sans-serif"/>
          <w:b w:val="false"/>
          <w:color w:val="000000"/>
          <w:sz w:val="22"/>
        </w:rPr>
        <w:t>. Permit the Consolidated Fixed Charge Coverage Ratio as of the end of any fiscal quarter of the Borrower to be less than 2.00 to 1.0.</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Consolidated Net Unencumbered Liquid Assets</w:t>
      </w:r>
      <w:r>
        <w:rPr>
          <w:rFonts w:ascii="Times New Roman;sans-serif" w:hAnsi="Times New Roman;sans-serif"/>
          <w:b w:val="false"/>
          <w:color w:val="000000"/>
          <w:sz w:val="22"/>
        </w:rPr>
        <w:t>. Permit the Consolidated Net Unencumbered Liquid Assets at any time to be less than $750,000,000.</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1.l</w:t>
      </w:r>
      <w:r>
        <w:rPr>
          <w:rFonts w:ascii="Times New Roman;sans-serif" w:hAnsi="Times New Roman;sans-serif"/>
          <w:b/>
          <w:color w:val="000000"/>
          <w:sz w:val="22"/>
          <w:u w:val="single"/>
        </w:rPr>
        <w:t>Prepayment of Other Indebtedness, Etc.</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(i)Amend or modify any of the terms of any Indebtedness in excess of $100,000 of any Loan Party or any Subsidiary (other than Indebtedness arising under the Loan Documents and Indebtedness permitted by </w:t>
      </w:r>
      <w:r>
        <w:rPr>
          <w:rFonts w:ascii="Times New Roman;sans-serif" w:hAnsi="Times New Roman;sans-serif"/>
          <w:b w:val="false"/>
          <w:color w:val="000000"/>
          <w:sz w:val="22"/>
          <w:u w:val="single"/>
        </w:rPr>
        <w:t>Sections 8.03(c)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(j)</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(p)</w:t>
      </w:r>
      <w:r>
        <w:rPr>
          <w:color w:val="000000"/>
        </w:rPr>
        <w:t xml:space="preserve"> </w:t>
      </w:r>
      <w:r>
        <w:rPr>
          <w:rFonts w:ascii="Times New Roman;sans-serif" w:hAnsi="Times New Roman;sans-serif"/>
          <w:b w:val="false"/>
          <w:color w:val="000000"/>
          <w:sz w:val="22"/>
        </w:rPr>
        <w:t xml:space="preserve">(it being understood that Indebtedness permitted by </w:t>
      </w:r>
      <w:r>
        <w:rPr>
          <w:rFonts w:ascii="Times New Roman;sans-serif" w:hAnsi="Times New Roman;sans-serif"/>
          <w:b w:val="false"/>
          <w:color w:val="000000"/>
          <w:sz w:val="22"/>
          <w:u w:val="single"/>
        </w:rPr>
        <w:t>Section 8.03(p)</w:t>
      </w:r>
      <w:r>
        <w:rPr>
          <w:color w:val="000000"/>
        </w:rPr>
        <w:t xml:space="preserve"> </w:t>
      </w:r>
      <w:r>
        <w:rPr>
          <w:rFonts w:ascii="Times New Roman;sans-serif" w:hAnsi="Times New Roman;sans-serif"/>
          <w:b w:val="false"/>
          <w:color w:val="000000"/>
          <w:sz w:val="22"/>
        </w:rPr>
        <w:t xml:space="preserve">shall be subject to the limitations specified in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below)) if such amendment or modification would add or change any terms in a manner adverse to any Loan Party or any Subsidiary, or shorten the final maturity or average life to maturity or require any payment to be made sooner than originally scheduled or increase the interest rate applicable thereto, except for Permitted Refinancings.</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(ii)Make (or give any notice with respect thereto) any voluntary or optional payment or prepayment or optional redemption or acquisition for value of (including by way of depositing money or securities with the trustee with respect thereto before due for the purpose of paying when due), refund, refinance or exchange of any Indebtedness of any Loan Party or any Subsidiary (any such payment, prepayment, redemption, acquisition for value of, refund, refinance or exchange being referred to herein as a “</w:t>
      </w:r>
      <w:r>
        <w:rPr>
          <w:rFonts w:ascii="Times New Roman;sans-serif" w:hAnsi="Times New Roman;sans-serif"/>
          <w:b w:val="false"/>
          <w:color w:val="000000"/>
          <w:sz w:val="22"/>
          <w:u w:val="single"/>
        </w:rPr>
        <w:t>Voluntary Prepayment</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the Borrower or any Subsidiary may make Voluntary Prepayments with respect to Indebtedness arising under the Loan Documents, the StoneX Financial Margin Facility and the StoneX Commodity Facility; (ii) the Borrower or any Subsidiary may make Voluntary Prepayments to the extent made solely with the proceeds of an issuance of common Equity Interests of such Person or the proceeds of any regulatory capital that is released; and (iii) the Borrower or any Subsidiary may make any other Voluntary Prepayments so long as no Event of Default shall have occurred and be continuing at the time of such Voluntary Prepayment or would result therefrom;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with respect to this </w:t>
      </w:r>
      <w:r>
        <w:rPr>
          <w:rFonts w:ascii="Times New Roman;sans-serif" w:hAnsi="Times New Roman;sans-serif"/>
          <w:b w:val="false"/>
          <w:color w:val="000000"/>
          <w:sz w:val="22"/>
          <w:u w:val="single"/>
        </w:rPr>
        <w:t>clause (iii)</w:t>
      </w:r>
      <w:r>
        <w:rPr>
          <w:rFonts w:ascii="Times New Roman;sans-serif" w:hAnsi="Times New Roman;sans-serif"/>
          <w:b w:val="false"/>
          <w:color w:val="000000"/>
          <w:sz w:val="22"/>
        </w:rPr>
        <w:t xml:space="preserve">, any Voluntary Prepayment of Indebtedness incurred in reliance on </w:t>
      </w:r>
      <w:r>
        <w:rPr>
          <w:rFonts w:ascii="Times New Roman;sans-serif" w:hAnsi="Times New Roman;sans-serif"/>
          <w:b w:val="false"/>
          <w:color w:val="000000"/>
          <w:sz w:val="22"/>
          <w:u w:val="single"/>
        </w:rPr>
        <w:t>Section 8.03(k)</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8.03(p)</w:t>
      </w:r>
      <w:r>
        <w:rPr>
          <w:color w:val="000000"/>
        </w:rPr>
        <w:t xml:space="preserve"> </w:t>
      </w:r>
      <w:r>
        <w:rPr>
          <w:rFonts w:ascii="Times New Roman;sans-serif" w:hAnsi="Times New Roman;sans-serif"/>
          <w:b w:val="false"/>
          <w:color w:val="000000"/>
          <w:sz w:val="22"/>
        </w:rPr>
        <w:t>shall only be permitted if, after giving effect to any such Voluntary Prepayment on a Pro Forma Basis, the Borrower would be in compliance with the Financial Covenants.</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(iii)Amend or modify any of the terms of the Second Lien Debt Documents in a manner that is not permitted by the Intercreditor Agreement.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 xml:space="preserve">(iv)Amend or modify any of the terms of the Indebtedness incurred pursuant to </w:t>
      </w:r>
      <w:r>
        <w:rPr>
          <w:rFonts w:ascii="Times New Roman;sans-serif" w:hAnsi="Times New Roman;sans-serif"/>
          <w:b w:val="false"/>
          <w:color w:val="000000"/>
          <w:sz w:val="22"/>
          <w:u w:val="single"/>
        </w:rPr>
        <w:t>Section 8.03(k)</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8.03(q)</w:t>
      </w:r>
      <w:r>
        <w:rPr>
          <w:color w:val="000000"/>
        </w:rPr>
        <w:t xml:space="preserve"> </w:t>
      </w:r>
      <w:r>
        <w:rPr>
          <w:rFonts w:ascii="Times New Roman;sans-serif" w:hAnsi="Times New Roman;sans-serif"/>
          <w:b w:val="false"/>
          <w:color w:val="000000"/>
          <w:sz w:val="22"/>
        </w:rPr>
        <w:t>in a manner that is not permitted by any applicable intercreditor agreement or Subordination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1.m</w:t>
      </w:r>
      <w:r>
        <w:rPr>
          <w:rFonts w:ascii="Times New Roman;sans-serif" w:hAnsi="Times New Roman;sans-serif"/>
          <w:b/>
          <w:color w:val="000000"/>
          <w:sz w:val="22"/>
          <w:u w:val="single"/>
        </w:rPr>
        <w:t>Organization Documents; Fiscal Year; Legal Name, State of Formation and Form of Entity</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(i)Amend, modify or change its Organization Documents in a manner adverse to the Lenders.</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(ii)Change its fiscal year.</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(iii)Without providing ten days prior written notice to the Administrative Agent (or such shorter period of time as may be agreed by the Administrative Agent in its sole discretion), change its name, state of formation or form of organization.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1.n</w:t>
      </w:r>
      <w:r>
        <w:rPr>
          <w:rFonts w:ascii="Times New Roman;sans-serif" w:hAnsi="Times New Roman;sans-serif"/>
          <w:b/>
          <w:color w:val="000000"/>
          <w:sz w:val="22"/>
          <w:u w:val="single"/>
        </w:rPr>
        <w:t>Sale Leasebacks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Enter into any Sale and Leaseback Transaction.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1.o</w:t>
      </w:r>
      <w:r>
        <w:rPr>
          <w:rFonts w:ascii="Times New Roman;sans-serif" w:hAnsi="Times New Roman;sans-serif"/>
          <w:b/>
          <w:color w:val="000000"/>
          <w:sz w:val="22"/>
          <w:u w:val="single"/>
        </w:rPr>
        <w:t>Capital Expenditures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Permit Consolidated Capital Expenditures for any fiscal year to exceed $75,000,000.</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1.p</w:t>
      </w:r>
      <w:r>
        <w:rPr>
          <w:rFonts w:ascii="Times New Roman;sans-serif" w:hAnsi="Times New Roman;sans-serif"/>
          <w:b/>
          <w:color w:val="000000"/>
          <w:sz w:val="22"/>
          <w:u w:val="single"/>
        </w:rPr>
        <w:t>Sanctions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1.q</w:t>
      </w:r>
      <w:r>
        <w:rPr>
          <w:rFonts w:ascii="Times New Roman;sans-serif" w:hAnsi="Times New Roman;sans-serif"/>
          <w:b/>
          <w:color w:val="000000"/>
          <w:sz w:val="22"/>
          <w:u w:val="single"/>
        </w:rPr>
        <w:t>Anti-Corruption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Use any Credit Extension or the proceeds of any Credit Extension for any purpose which would breach the United States Foreign Corrupt Practices Act of 1977, the UK Bribery Act 2010 and other similar anti-corruption legislation in other jurisdictions.</w:t>
      </w:r>
    </w:p>
    <w:p>
      <w:pPr>
        <w:pStyle w:val="TextBody"/>
        <w:bidi w:val="0"/>
        <w:spacing w:lineRule="auto" w:line="240" w:before="0" w:after="240"/>
        <w:jc w:val="center"/>
        <w:rPr/>
      </w:pPr>
      <w:r>
        <w:rPr>
          <w:rFonts w:ascii="Times New Roman;sans-serif" w:hAnsi="Times New Roman;sans-serif"/>
          <w:b/>
          <w:color w:val="000000"/>
          <w:sz w:val="22"/>
        </w:rPr>
        <w:t>Article 9.</w:t>
      </w:r>
      <w:r>
        <w:rPr>
          <w:rFonts w:ascii="Times New Roman;sans-serif" w:hAnsi="Times New Roman;sans-serif"/>
          <w:b/>
          <w:color w:val="000000"/>
          <w:sz w:val="22"/>
        </w:rPr>
        <w:br/>
        <w:br/>
        <w:t>EVENTS OF DEFAULT AND REMEDIES</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Events of Default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Any of the following shall constitute an Event of Default: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Non-Payment</w:t>
      </w:r>
      <w:r>
        <w:rPr>
          <w:rFonts w:ascii="Times New Roman;sans-serif" w:hAnsi="Times New Roman;sans-serif"/>
          <w:b w:val="false"/>
          <w:color w:val="000000"/>
          <w:sz w:val="22"/>
        </w:rPr>
        <w:t>. Any Loan Party fails to pay (i) when and as required to be paid herein, any amount of principal of any Loan or any L/C Obligation, or (ii) within three Business Days after the same becomes due, any interest on any Loan or on any L/C Obligation, or any fee due hereunder, or (iii) within five days after the same becomes due, any other amount payable hereunder or under any other Loan Document; or</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Specific Covenants</w:t>
      </w:r>
      <w:r>
        <w:rPr>
          <w:rFonts w:ascii="Times New Roman;sans-serif" w:hAnsi="Times New Roman;sans-serif"/>
          <w:b w:val="false"/>
          <w:color w:val="000000"/>
          <w:sz w:val="22"/>
        </w:rPr>
        <w:t xml:space="preserve">. The Borrower fails to perform or observe any term, covenant or agreement contained in any of </w:t>
      </w:r>
      <w:r>
        <w:rPr>
          <w:rFonts w:ascii="Times New Roman;sans-serif" w:hAnsi="Times New Roman;sans-serif"/>
          <w:b w:val="false"/>
          <w:color w:val="000000"/>
          <w:sz w:val="22"/>
          <w:u w:val="single"/>
        </w:rPr>
        <w:t>Section 7.01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7.05(a)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7.13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7.14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Article VIII</w:t>
      </w:r>
      <w:r>
        <w:rPr>
          <w:rFonts w:ascii="Times New Roman;sans-serif" w:hAnsi="Times New Roman;sans-serif"/>
          <w:b w:val="false"/>
          <w:color w:val="000000"/>
          <w:sz w:val="22"/>
        </w:rPr>
        <w:t>; or</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Other Defaults</w:t>
      </w:r>
      <w:r>
        <w:rPr>
          <w:rFonts w:ascii="Times New Roman;sans-serif" w:hAnsi="Times New Roman;sans-serif"/>
          <w:b w:val="false"/>
          <w:color w:val="000000"/>
          <w:sz w:val="22"/>
        </w:rPr>
        <w:t xml:space="preserve">. Any Loan Party fails to perform or observe any other covenant or agreement (not specified in </w:t>
      </w:r>
      <w:r>
        <w:rPr>
          <w:rFonts w:ascii="Times New Roman;sans-serif" w:hAnsi="Times New Roman;sans-serif"/>
          <w:b w:val="false"/>
          <w:color w:val="000000"/>
          <w:sz w:val="22"/>
          <w:u w:val="single"/>
        </w:rPr>
        <w:t>Section 9.01(a)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9.01(b)</w:t>
      </w:r>
      <w:r>
        <w:rPr>
          <w:rFonts w:ascii="Times New Roman;sans-serif" w:hAnsi="Times New Roman;sans-serif"/>
          <w:b w:val="false"/>
          <w:color w:val="000000"/>
          <w:sz w:val="22"/>
        </w:rPr>
        <w:t>) contained in any Loan Document on its part to be performed or observed and such failure continues for thirty days after the earlier of (i) the date on which such failure shall first become known to a Responsible Officer of the Borrower, or (ii) the date on which written notice thereof is given to the Borrower by the Administrative Agent or any Lender; or</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warranty, certification or statement of fact made or deemed made by or on behalf of any Loan Party herein, in any other Loan Document, or in any document delivered in connection herewith or therewith shall be materially incorrect or misleading when made or deemed made; or</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Cross-Default</w:t>
      </w:r>
      <w:r>
        <w:rPr>
          <w:rFonts w:ascii="Times New Roman;sans-serif" w:hAnsi="Times New Roman;sans-serif"/>
          <w:b w:val="false"/>
          <w:color w:val="000000"/>
          <w:sz w:val="22"/>
        </w:rPr>
        <w:t xml:space="preserve">. (i) Any Loan Party or any Subsidiary (A) fails to make any payment when due (whether by scheduled maturity, required prepayment, acceleration, demand, or otherwise, but, in each case, after any applicable grace, cure or notice period)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in each case, after any applicable grace, cure or notice period,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any Loan Party or any Subsidiary is the Defaulting Party (as defined in such Swap Contract) or (B) any Termination Event (as so defined) under such Swap Contract as to which any Loan Party or any Subsidiary is an Affected Party (as so defined) and, in either event, the Swap Termination Value owed by such Loan Party or such Subsidiary as a result thereof is greater than the Threshold Amount, unless satisfied in full within thirty days; or</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Insolvency Proceedings, Etc.</w:t>
      </w:r>
      <w:r>
        <w:rPr>
          <w:color w:val="000000"/>
        </w:rPr>
        <w:t xml:space="preserve"> </w:t>
      </w:r>
      <w:r>
        <w:rPr>
          <w:rFonts w:ascii="Times New Roman;sans-serif" w:hAnsi="Times New Roman;sans-serif"/>
          <w:b w:val="false"/>
          <w:color w:val="000000"/>
          <w:sz w:val="22"/>
        </w:rPr>
        <w:t>Any Loan Party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Inability to Pay Debts; Attachment</w:t>
      </w:r>
      <w:r>
        <w:rPr>
          <w:rFonts w:ascii="Times New Roman;sans-serif" w:hAnsi="Times New Roman;sans-serif"/>
          <w:b w:val="false"/>
          <w:color w:val="000000"/>
          <w:sz w:val="22"/>
        </w:rPr>
        <w:t>. (i) Any Loan Party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pStyle w:val="TextBody"/>
        <w:bidi w:val="0"/>
        <w:spacing w:lineRule="auto" w:line="240" w:before="0" w:after="240"/>
        <w:ind w:left="0" w:right="0" w:firstLine="281"/>
        <w:jc w:val="both"/>
        <w:rPr/>
      </w:pPr>
      <w:r>
        <w:rPr>
          <w:rFonts w:ascii="Times New Roman;sans-serif" w:hAnsi="Times New Roman;sans-serif"/>
          <w:b w:val="false"/>
          <w:color w:val="000000"/>
          <w:sz w:val="22"/>
        </w:rPr>
        <w:t>(viii)</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There is entered against any Loan Party or any Subsidiary (i) one or more final judgments or orders for the payment of money in an aggregate amount (as to all such judgments or orders) exceeding the Threshold Amount (to the extent not covered by independent third-party insurance as to which the insurer has been notified of the claim and does not dispute coverage), and the same shall remain unpaid or undischarged,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thirty consecutive days during which a stay of enforcement of such judgment, by reason of a pending appeal or otherwise, is not in effect; or</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(ix)</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(x)</w:t>
      </w:r>
      <w:r>
        <w:rPr>
          <w:rFonts w:ascii="Times New Roman;sans-serif" w:hAnsi="Times New Roman;sans-serif"/>
          <w:b w:val="false"/>
          <w:color w:val="000000"/>
          <w:sz w:val="22"/>
          <w:u w:val="single"/>
        </w:rPr>
        <w:t>Invalidity of Loan Documents</w:t>
      </w:r>
      <w:r>
        <w:rPr>
          <w:rFonts w:ascii="Times New Roman;sans-serif" w:hAnsi="Times New Roman;sans-serif"/>
          <w:b w:val="false"/>
          <w:color w:val="000000"/>
          <w:sz w:val="22"/>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Loan Party denies that it has any or further liability or obligation under any Loan Document, or purports to revoke, terminate or rescind any Loan Document; or</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(xi)</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There occurs any Change of Control; or</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(xii)</w:t>
      </w:r>
      <w:r>
        <w:rPr>
          <w:rFonts w:ascii="Times New Roman;sans-serif" w:hAnsi="Times New Roman;sans-serif"/>
          <w:b w:val="false"/>
          <w:color w:val="000000"/>
          <w:sz w:val="22"/>
          <w:u w:val="single"/>
        </w:rPr>
        <w:t>Second Lien Debt Documents</w:t>
      </w:r>
      <w:r>
        <w:rPr>
          <w:rFonts w:ascii="Times New Roman;sans-serif" w:hAnsi="Times New Roman;sans-serif"/>
          <w:b w:val="false"/>
          <w:color w:val="000000"/>
          <w:sz w:val="22"/>
        </w:rPr>
        <w:t>. There shall occur an “Event of Default” (or any comparable term) under, and as defined in, the Second Lien Debt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281"/>
        <w:jc w:val="both"/>
        <w:rPr/>
      </w:pPr>
      <w:r>
        <w:rPr>
          <w:rFonts w:ascii="Times New Roman;sans-serif" w:hAnsi="Times New Roman;sans-serif"/>
          <w:b w:val="false"/>
          <w:color w:val="000000"/>
          <w:sz w:val="22"/>
        </w:rPr>
        <w:t>(xiii)</w:t>
      </w:r>
      <w:r>
        <w:rPr>
          <w:rFonts w:ascii="Times New Roman;sans-serif" w:hAnsi="Times New Roman;sans-serif"/>
          <w:b w:val="false"/>
          <w:color w:val="000000"/>
          <w:sz w:val="22"/>
          <w:u w:val="single"/>
        </w:rPr>
        <w:t>Subordination Provisions</w:t>
      </w:r>
      <w:r>
        <w:rPr>
          <w:rFonts w:ascii="Times New Roman;sans-serif" w:hAnsi="Times New Roman;sans-serif"/>
          <w:b w:val="false"/>
          <w:color w:val="000000"/>
          <w:sz w:val="22"/>
        </w:rPr>
        <w:t>. The subordination provisions applicable to any Indebtedness having an aggregate principal amount (including undrawn committed or available amounts and including amounts owing to all creditors under any combined or syndicated credit arrangement) of more than the Threshold Amount subject to a Subordination Agreement shall, in each case, in whole or in part, terminate, cease to be effective or cease to be legally valid, binding and enforceable against any holder of such Indebtedness.</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Remedies Upon Event of Default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Event of Default occurs and is continuing, the Administrative Agent shall, at the request of, or may, with the consent of, the Required Lenders, take any or all of the following actions:</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(i)declare the commitment of each Lender to make Loans and any obligation of the L/C Issuer to make L/C Credit Extensions to be terminated, whereupon such commitments and obligation shall be terminated;</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(iii)require that the Borrower Cash Collateralize the L/C Obligations (in an amount equal to the Minimum Collateral Amount with respect thereto); and</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(iv)exercise on behalf of itself, the Lenders and the L/C Issuer all rights and remedies available to it, the Lenders and the L/C Issuer under the Loan Documents or applicable Law or at equity;</w: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upon the occurrence of an actual or deemed entry of an order for relief with respect to the Borrower under the Bankruptcy Code of the United States (or other applicable Debtor Relief Law),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Application of Funds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After the exercise of remedies provided for in </w:t>
      </w:r>
      <w:r>
        <w:rPr>
          <w:rFonts w:ascii="Times New Roman;sans-serif" w:hAnsi="Times New Roman;sans-serif"/>
          <w:b w:val="false"/>
          <w:color w:val="000000"/>
          <w:sz w:val="22"/>
          <w:u w:val="single"/>
        </w:rPr>
        <w:t>Section 9.02</w:t>
      </w:r>
      <w:r>
        <w:rPr>
          <w:color w:val="000000"/>
        </w:rPr>
        <w:t xml:space="preserve"> </w:t>
      </w:r>
      <w:r>
        <w:rPr>
          <w:rFonts w:ascii="Times New Roman;sans-serif" w:hAnsi="Times New Roman;sans-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xml:space="preserve">), any amounts received on account of the Obligations shall, subject to the provisions of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2.15</w:t>
      </w:r>
      <w:r>
        <w:rPr>
          <w:rFonts w:ascii="Times New Roman;sans-serif" w:hAnsi="Times New Roman;sans-serif"/>
          <w:b w:val="false"/>
          <w:color w:val="000000"/>
          <w:sz w:val="22"/>
        </w:rPr>
        <w:t>, be applied by the Administrative Agent in the following order: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u w:val="single"/>
        </w:rPr>
        <w:t>1,</w:t>
      </w:r>
      <w:r>
        <w:rPr>
          <w:rFonts w:ascii="Times New Roman;sans-serif" w:hAnsi="Times New Roman;sans-serif"/>
          <w:b w:val="false"/>
          <w:color w:val="000000"/>
          <w:sz w:val="22"/>
        </w:rPr>
        <w:t xml:space="preserve">to payment of that portion of the Obligations constituting fees, indemnities, expenses and other amounts (including fees, charges and disbursements of counsel to the Administrative Agent and amounts payable under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payable to the Administrative Agent in its capacity as such;</w:t>
      </w:r>
    </w:p>
    <w:p>
      <w:pPr>
        <w:pStyle w:val="TextBody"/>
        <w:bidi w:val="0"/>
        <w:spacing w:lineRule="auto" w:line="240" w:before="0" w:after="240"/>
        <w:ind w:left="0" w:right="0" w:firstLine="720"/>
        <w:jc w:val="both"/>
        <w:rPr/>
      </w:pPr>
      <w:r>
        <w:rPr>
          <w:rFonts w:ascii="Times New Roman;sans-serif" w:hAnsi="Times New Roman;sans-serif"/>
          <w:b w:val="false"/>
          <w:color w:val="000000"/>
          <w:sz w:val="22"/>
          <w:u w:val="single"/>
        </w:rPr>
        <w:t>2,</w:t>
      </w:r>
      <w:r>
        <w:rPr>
          <w:rFonts w:ascii="Times New Roman;sans-serif" w:hAnsi="Times New Roman;sans-serif"/>
          <w:b w:val="false"/>
          <w:color w:val="000000"/>
          <w:sz w:val="22"/>
        </w:rPr>
        <w:t xml:space="preserve">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xml:space="preserve">), ratably among them in proportion to the respective amounts described in this </w:t>
      </w:r>
      <w:r>
        <w:rPr>
          <w:rFonts w:ascii="Times New Roman;sans-serif" w:hAnsi="Times New Roman;sans-serif"/>
          <w:b w:val="false"/>
          <w:color w:val="000000"/>
          <w:sz w:val="22"/>
          <w:u w:val="single"/>
        </w:rPr>
        <w:t>clause Second</w:t>
      </w:r>
      <w:r>
        <w:rPr>
          <w:color w:val="000000"/>
        </w:rPr>
        <w:t xml:space="preserve"> </w:t>
      </w:r>
      <w:r>
        <w:rPr>
          <w:rFonts w:ascii="Times New Roman;sans-serif" w:hAnsi="Times New Roman;sans-serif"/>
          <w:b w:val="false"/>
          <w:color w:val="000000"/>
          <w:sz w:val="22"/>
        </w:rPr>
        <w:t>payable to them;</w:t>
      </w:r>
    </w:p>
    <w:p>
      <w:pPr>
        <w:pStyle w:val="TextBody"/>
        <w:bidi w:val="0"/>
        <w:spacing w:lineRule="auto" w:line="240" w:before="0" w:after="240"/>
        <w:ind w:left="0" w:right="0" w:firstLine="720"/>
        <w:jc w:val="both"/>
        <w:rPr/>
      </w:pPr>
      <w:r>
        <w:rPr>
          <w:rFonts w:ascii="Times New Roman;sans-serif" w:hAnsi="Times New Roman;sans-serif"/>
          <w:b w:val="false"/>
          <w:color w:val="000000"/>
          <w:sz w:val="22"/>
          <w:u w:val="single"/>
        </w:rPr>
        <w:t>3,</w:t>
      </w:r>
      <w:r>
        <w:rPr>
          <w:rFonts w:ascii="Times New Roman;sans-serif" w:hAnsi="Times New Roman;sans-serif"/>
          <w:b w:val="false"/>
          <w:color w:val="000000"/>
          <w:sz w:val="22"/>
        </w:rPr>
        <w:t xml:space="preserve">to payment of that portion of the Obligations constituting accrued and unpaid Letter of Credit Fees and interest on the Loans and L/C Borrowings, ratably among the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and the L/C Issuer in proportion to the respective amounts described in this </w:t>
      </w:r>
      <w:r>
        <w:rPr>
          <w:rFonts w:ascii="Times New Roman;sans-serif" w:hAnsi="Times New Roman;sans-serif"/>
          <w:b w:val="false"/>
          <w:color w:val="000000"/>
          <w:sz w:val="22"/>
          <w:u w:val="single"/>
        </w:rPr>
        <w:t>clause Third</w:t>
      </w:r>
      <w:r>
        <w:rPr>
          <w:color w:val="000000"/>
        </w:rPr>
        <w:t xml:space="preserve"> </w:t>
      </w:r>
      <w:r>
        <w:rPr>
          <w:rFonts w:ascii="Times New Roman;sans-serif" w:hAnsi="Times New Roman;sans-serif"/>
          <w:b w:val="false"/>
          <w:color w:val="000000"/>
          <w:sz w:val="22"/>
        </w:rPr>
        <w:t>held by them;</w:t>
      </w:r>
    </w:p>
    <w:p>
      <w:pPr>
        <w:pStyle w:val="TextBody"/>
        <w:bidi w:val="0"/>
        <w:spacing w:lineRule="auto" w:line="240" w:before="0" w:after="240"/>
        <w:ind w:left="0" w:right="0" w:firstLine="720"/>
        <w:jc w:val="both"/>
        <w:rPr/>
      </w:pPr>
      <w:r>
        <w:rPr>
          <w:rFonts w:ascii="Times New Roman;sans-serif" w:hAnsi="Times New Roman;sans-serif"/>
          <w:b w:val="false"/>
          <w:color w:val="000000"/>
          <w:sz w:val="22"/>
          <w:u w:val="single"/>
        </w:rPr>
        <w:t>4,</w:t>
      </w:r>
      <w:r>
        <w:rPr>
          <w:rFonts w:ascii="Times New Roman;sans-serif" w:hAnsi="Times New Roman;sans-serif"/>
          <w:b w:val="false"/>
          <w:color w:val="000000"/>
          <w:sz w:val="22"/>
        </w:rPr>
        <w:t xml:space="preserve">to (a) payment of that portion of the Obligations constituting unpaid principal of the Loans and L/C Borrowings, (b) payment of Obligations then owing under any Secured Hedge Agreements, (c) payments of Obligations then owing under any Secured Cash Management Agreements and (d) Cash Collateralize that portion of L/C Obligations comprised of the aggregate undrawn amount of Letters of Credit, ratably among the Lenders, the L/C Issuer, the Hedge Banks and the Cash Management Banks in proportion to the respective amounts described in this </w:t>
      </w:r>
      <w:r>
        <w:rPr>
          <w:rFonts w:ascii="Times New Roman;sans-serif" w:hAnsi="Times New Roman;sans-serif"/>
          <w:b w:val="false"/>
          <w:color w:val="000000"/>
          <w:sz w:val="22"/>
          <w:u w:val="single"/>
        </w:rPr>
        <w:t>clause Fourth</w:t>
      </w:r>
      <w:r>
        <w:rPr>
          <w:color w:val="000000"/>
        </w:rPr>
        <w:t xml:space="preserve"> </w:t>
      </w:r>
      <w:r>
        <w:rPr>
          <w:rFonts w:ascii="Times New Roman;sans-serif" w:hAnsi="Times New Roman;sans-serif"/>
          <w:b w:val="false"/>
          <w:color w:val="000000"/>
          <w:sz w:val="22"/>
        </w:rPr>
        <w:t>held by them;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u w:val="single"/>
        </w:rPr>
        <w:t>Last</w:t>
      </w:r>
      <w:r>
        <w:rPr>
          <w:rFonts w:ascii="Times New Roman;sans-serif" w:hAnsi="Times New Roman;sans-serif"/>
          <w:b w:val="false"/>
          <w:color w:val="000000"/>
          <w:sz w:val="22"/>
        </w:rPr>
        <w:t>, the balance, if any, after all of the Obligations have been indefeasibly paid in full, to the applicable Loan Party or as otherwise required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Sections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2.14</w:t>
      </w:r>
      <w:r>
        <w:rPr>
          <w:rFonts w:ascii="Times New Roman;sans-serif" w:hAnsi="Times New Roman;sans-serif"/>
          <w:b w:val="false"/>
          <w:color w:val="000000"/>
          <w:sz w:val="22"/>
        </w:rPr>
        <w:t xml:space="preserve">, amounts used to Cash Collateralize the aggregate undrawn amount of Letters of Credit pursuant to </w:t>
      </w:r>
      <w:r>
        <w:rPr>
          <w:rFonts w:ascii="Times New Roman;sans-serif" w:hAnsi="Times New Roman;sans-serif"/>
          <w:b w:val="false"/>
          <w:color w:val="000000"/>
          <w:sz w:val="22"/>
          <w:u w:val="single"/>
        </w:rPr>
        <w:t>clause Fourth</w:t>
      </w:r>
      <w:r>
        <w:rPr>
          <w:color w:val="000000"/>
        </w:rPr>
        <w:t xml:space="preserve"> </w:t>
      </w:r>
      <w:r>
        <w:rPr>
          <w:rFonts w:ascii="Times New Roman;sans-serif" w:hAnsi="Times New Roman;sans-serif"/>
          <w:b w:val="false"/>
          <w:color w:val="000000"/>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such Guarantor’s</w:t>
      </w:r>
      <w:r>
        <w:rPr>
          <w:color w:val="000000"/>
        </w:rPr>
        <w:t xml:space="preserve"> </w:t>
      </w:r>
      <w:r>
        <w:rPr>
          <w:rFonts w:ascii="Times New Roman;sans-serif" w:hAnsi="Times New Roman;sans-serif"/>
          <w:b w:val="false"/>
          <w:color w:val="000000"/>
          <w:sz w:val="22"/>
        </w:rPr>
        <w:t>assets, but appropriate adjustments shall be made with respect to payments from other Loan Parties to preserve the allocation to Obligations otherwise set forth above in this Section.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the foregoing,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(unless such Cash Management Bank or Hedge Bank is the Administrative Agent or an Affiliate thereof). Each Cash Management Bank or Hedge Bank not a party to this Agreement that has given the notice contemplated by the preceding sentence shall, by such notice, be deemed to have acknowledged and accepted the appointment of the Administrative Agent pursuant to, and be bound by, the terms of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for itself and its Affiliates as if a “Lender” party hereto.</w:t>
      </w:r>
    </w:p>
    <w:p>
      <w:pPr>
        <w:pStyle w:val="TextBody"/>
        <w:bidi w:val="0"/>
        <w:spacing w:lineRule="auto" w:line="240" w:before="0" w:after="240"/>
        <w:jc w:val="center"/>
        <w:rPr/>
      </w:pPr>
      <w:r>
        <w:rPr>
          <w:rFonts w:ascii="Times New Roman;sans-serif" w:hAnsi="Times New Roman;sans-serif"/>
          <w:b/>
          <w:color w:val="000000"/>
          <w:sz w:val="22"/>
        </w:rPr>
        <w:t>Article 10.</w:t>
      </w:r>
      <w:r>
        <w:rPr>
          <w:rFonts w:ascii="Times New Roman;sans-serif" w:hAnsi="Times New Roman;sans-serif"/>
          <w:b/>
          <w:color w:val="000000"/>
          <w:sz w:val="22"/>
        </w:rPr>
        <w:br/>
        <w:br/>
        <w:t>ADMINISTRATIVE AGENT</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Appointment and Authority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Administrative Agent shall also act as the “collateral agent” under the Loan Documents, and each of the Lenders (in its capacities as a Lender, Swing Line Lender (if applicable), potential Hedge Banks and potential Cash Management Banks)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and attorneys-in-fact appointed by the Administrative Agent pursuant to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Article XI</w:t>
      </w:r>
      <w:r>
        <w:rPr>
          <w:color w:val="000000"/>
        </w:rPr>
        <w:t xml:space="preserve"> </w:t>
      </w:r>
      <w:r>
        <w:rPr>
          <w:rFonts w:ascii="Times New Roman;sans-serif" w:hAnsi="Times New Roman;sans-serif"/>
          <w:b w:val="false"/>
          <w:color w:val="000000"/>
          <w:sz w:val="22"/>
        </w:rPr>
        <w:t xml:space="preserve">(including </w:t>
      </w:r>
      <w:r>
        <w:rPr>
          <w:rFonts w:ascii="Times New Roman;sans-serif" w:hAnsi="Times New Roman;sans-serif"/>
          <w:b w:val="false"/>
          <w:color w:val="000000"/>
          <w:sz w:val="22"/>
          <w:u w:val="single"/>
        </w:rPr>
        <w:t>Section 11.04(c)</w:t>
      </w:r>
      <w:r>
        <w:rPr>
          <w:rFonts w:ascii="Times New Roman;sans-serif" w:hAnsi="Times New Roman;sans-serif"/>
          <w:b w:val="false"/>
          <w:color w:val="000000"/>
          <w:sz w:val="22"/>
        </w:rPr>
        <w:t>, as though such co-agents, sub-agents and attorneys-in-fact were the “collateral agent” under the Loan Documents) as if set forth in full herein with respect thereto.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Lenders hereby (a) agrees to be bound by the terms of the Intercreditor Agreement and/or any Subordination Agreement entered into in connection with this Agreement, and (b) authorizes and directs the Administrative Agent to enter into the Intercreditor Agreement and/or any Subordination Agreement on behalf of all the Lenders, to perform its obligations thereunder and to deliver and accept notices thereunder on behalf of the Lenders.</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Rights as a Lender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 or to provide notice or consent to the Lenders with respect thereto.</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Exculpatory Provisions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Neither the Administrative Agent nor any Lead Arranger shall have any duties or obligations except those expressly set forth herein and in the other Loan Documents, and its duties hereunder shall be administrative in nature. Without limiting the generality of the foregoing, none of the Administrative Agent, any Lead Arranger, or any of their respective Related Parties:</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(i)shall be subject to any fiduciary or other implied duties, regardless of whether a Default has occurred and is continuing;</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or</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(iii)shall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any Lead Arranger or any of their respective Related Parties in any capacity, except for notices, reports and other documents expressly required to be furnished to the Lenders by the Administrative Agent herein.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Administrative Agent shall believe in good faith shall be necessary, under the circumstances as provided in </w:t>
      </w:r>
      <w:r>
        <w:rPr>
          <w:rFonts w:ascii="Times New Roman;sans-serif" w:hAnsi="Times New Roman;sans-serif"/>
          <w:b w:val="false"/>
          <w:color w:val="000000"/>
          <w:sz w:val="22"/>
          <w:u w:val="single"/>
        </w:rPr>
        <w:t>Sections 11.01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9.02</w:t>
      </w:r>
      <w:r>
        <w:rPr>
          <w:rFonts w:ascii="Times New Roman;sans-serif" w:hAnsi="Times New Roman;sans-serif"/>
          <w:b w:val="false"/>
          <w:color w:val="000000"/>
          <w:sz w:val="22"/>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or elsewhere herein, other than to confirm receipt of items expressly required to be delivered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u w:val="single"/>
        </w:rPr>
        <w:t>Reliance by Administrative Agent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u w:val="single"/>
        </w:rPr>
        <w:t>Delegation of Duties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u w:val="single"/>
        </w:rPr>
        <w:t>Resignation of Administrative Agent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    The Administrative Agent may at any time give notice of its resignation to the Lenders, the L/C Issuer and the Borrower. Upon receipt of any such notice of resignation, the Required Lenders shall have the right, in consultation with (and, so long as there is no continuing Event of Default, the consent of (such consent not to be unreasonably withheld or delayed))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Times New Roman;sans-serif" w:hAnsi="Times New Roman;sans-serif"/>
          <w:b w:val="false"/>
          <w:color w:val="000000"/>
          <w:sz w:val="22"/>
          <w:u w:val="single"/>
        </w:rPr>
        <w:t>Resignation Effective Date</w:t>
      </w:r>
      <w:r>
        <w:rPr>
          <w:color w:val="000000"/>
        </w:rPr>
        <w:t>”</w:t>
      </w:r>
      <w:r>
        <w:rPr>
          <w:rFonts w:ascii="Times New Roman;sans-serif" w:hAnsi="Times New Roman;sans-serif"/>
          <w:b w:val="false"/>
          <w:color w:val="000000"/>
          <w:sz w:val="22"/>
        </w:rPr>
        <w:t xml:space="preserve">), then the retiring Administrative Agent may (but shall not be obligated to) on behalf of the Lenders and the L/C Issuer, appoint a successor Administrative Agent meeting the qualifications set forth above;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in no event shall any successor Administrative Agent be a Defaulting Lender or a Disqualified Institution.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If the Person serving as Administrative Agent is a Defaulting Lender pursuant to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days (or such earlier day as shall be agreed by the Required Lenders) (the “</w:t>
      </w:r>
      <w:r>
        <w:rPr>
          <w:rFonts w:ascii="Times New Roman;sans-serif" w:hAnsi="Times New Roman;sans-serif"/>
          <w:b w:val="false"/>
          <w:color w:val="000000"/>
          <w:sz w:val="22"/>
          <w:u w:val="single"/>
        </w:rPr>
        <w:t>Removal Effective Date</w:t>
      </w:r>
      <w:r>
        <w:rPr>
          <w:color w:val="000000"/>
        </w:rPr>
        <w:t>”</w:t>
      </w:r>
      <w:r>
        <w:rPr>
          <w:rFonts w:ascii="Times New Roman;sans-serif" w:hAnsi="Times New Roman;sans-serif"/>
          <w:b w:val="false"/>
          <w:color w:val="000000"/>
          <w:sz w:val="22"/>
        </w:rPr>
        <w:t>), then such removal shall nonetheless become effective in accordance with such notice on the Removal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sans-serif" w:hAnsi="Times New Roman;sans-serif"/>
          <w:b w:val="false"/>
          <w:color w:val="000000"/>
          <w:sz w:val="22"/>
          <w:u w:val="single"/>
        </w:rPr>
        <w:t>Section 3.01(g)</w:t>
      </w:r>
      <w:r>
        <w:rPr>
          <w:color w:val="000000"/>
        </w:rPr>
        <w:t xml:space="preserve"> </w:t>
      </w:r>
      <w:r>
        <w:rPr>
          <w:rFonts w:ascii="Times New Roman;sans-serif" w:hAnsi="Times New Roman;sans-serif"/>
          <w:b w:val="false"/>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sans-serif" w:hAnsi="Times New Roman;sans-serif"/>
          <w:b w:val="false"/>
          <w:color w:val="000000"/>
          <w:sz w:val="22"/>
          <w:u w:val="single"/>
        </w:rPr>
        <w:t>Section 11.04</w:t>
      </w:r>
      <w:r>
        <w:rPr>
          <w:color w:val="000000"/>
        </w:rPr>
        <w:t xml:space="preserve"> </w:t>
      </w:r>
      <w:r>
        <w:rPr>
          <w:rFonts w:ascii="Times New Roman;sans-serif" w:hAnsi="Times New Roman;sans-serif"/>
          <w:b w:val="false"/>
          <w:color w:val="000000"/>
          <w:sz w:val="22"/>
        </w:rPr>
        <w:t>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(x) acting as collateral agent or otherwise holding any collateral security on behalf of any of the Lenders and (y) in respect of any actions taken in connection with transferring the agency to any successor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Any resignation or removal by Bank of America as Administrative Agent pursuant to this Section shall also constitute its resignation as L/C Issuer and Swing Line Lender.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ans-serif" w:hAnsi="Times New Roman;sans-serif"/>
          <w:b w:val="false"/>
          <w:color w:val="000000"/>
          <w:sz w:val="22"/>
          <w:u w:val="single"/>
        </w:rPr>
        <w:t>Section 2.04(c)</w:t>
      </w:r>
      <w:r>
        <w:rPr>
          <w:rFonts w:ascii="Times New Roman;sans-serif" w:hAnsi="Times New Roman;sans-serif"/>
          <w:b w:val="false"/>
          <w:color w:val="000000"/>
          <w:sz w:val="22"/>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u w:val="single"/>
        </w:rPr>
        <w:t>Non-Reliance on Administrative Agent, Lead Arrangers and Other Lenders</w:t>
      </w:r>
      <w:r>
        <w:rPr>
          <w:rFonts w:ascii="Times New Roman;sans-serif" w:hAnsi="Times New Roman;sans-serif"/>
          <w:b/>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Lender and the L/C Issuer acknowledges that neither of the Administrative Agent nor any Lead Arranger has made any representation or warranty to it, and that no act by the Administrative Agent or any Lead Arranger hereafter taken, including any consent to, and acceptance of any assignment or review of the affairs of any Loan Party or any Affiliate thereof, shall be deemed to constitute any representation or warranty by the Administrative Agent or any Lead Arranger to any Lender or the L/C Issuer as to any matter, including whether the Administrative Agent or any Lead Arranger have disclosed material information in their (or their Related Parties’) possession. Each Lender and the L/C Issuer represents to the Administrative Agent and each Lead Arranger that it has, independently and without reliance upon the Administrative Agent, such Lead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any Lead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(a) the Loan Documents set forth the terms of a commercial lending facility and (b) it is engaged in making, acquiring or holding commercial loans in the ordinary course and is entering into this Agreement as a Lender or the L/C Issuer for the purpose of making, acquiring or holding commercial loans and providing other facilities set forth herein as may be applicable to such Lender or the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the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u w:val="single"/>
        </w:rPr>
        <w:t>No Other Duties; Etc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1.09</w:t>
      </w:r>
      <w:r>
        <w:rPr>
          <w:rFonts w:ascii="Times New Roman;sans-serif" w:hAnsi="Times New Roman;sans-serif"/>
          <w:b/>
          <w:color w:val="000000"/>
          <w:sz w:val="22"/>
          <w:u w:val="single"/>
        </w:rPr>
        <w:t>Administrative Agent May File Proofs of Claim; Credit Bidding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sans-serif" w:hAnsi="Times New Roman;sans-serif"/>
          <w:b w:val="false"/>
          <w:color w:val="000000"/>
          <w:sz w:val="22"/>
          <w:u w:val="single"/>
        </w:rPr>
        <w:t>Sections 2.03(h)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11.04</w:t>
      </w:r>
      <w:r>
        <w:rPr>
          <w:rFonts w:ascii="Times New Roman;sans-serif" w:hAnsi="Times New Roman;sans-serif"/>
          <w:b w:val="false"/>
          <w:color w:val="000000"/>
          <w:sz w:val="22"/>
        </w:rPr>
        <w:t>) allowed in such judicial proceeding; and</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(ii)to collect and receive any monies or other property payable or deliverable on any such claims and to distribute the same;</w:t>
      </w:r>
    </w:p>
    <w:p>
      <w:pPr>
        <w:pStyle w:val="TextBody"/>
        <w:bidi w:val="0"/>
        <w:spacing w:lineRule="auto" w:line="240" w:before="0" w:after="240"/>
        <w:jc w:val="both"/>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sans-serif" w:hAnsi="Times New Roman;sans-serif"/>
          <w:b w:val="false"/>
          <w:color w:val="000000"/>
          <w:sz w:val="22"/>
          <w:u w:val="single"/>
        </w:rPr>
        <w:t>Sections 2.09</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11.04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thereof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(A) to form one or more acquisition vehicles to make a bid, and (B) to adopt documents providing for the governance of the acquisition vehicle or vehicles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sans-serif" w:hAnsi="Times New Roman;sans-serif"/>
          <w:b w:val="false"/>
          <w:color w:val="000000"/>
          <w:sz w:val="22"/>
          <w:u w:val="single"/>
        </w:rPr>
        <w:t>Section 11.01(a))</w:t>
      </w:r>
      <w:r>
        <w:rPr>
          <w:rFonts w:ascii="Times New Roman;sans-serif" w:hAnsi="Times New Roman;sans-serif"/>
          <w:b w:val="false"/>
          <w:color w:val="000000"/>
          <w:sz w:val="22"/>
        </w:rPr>
        <w:t>,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Lender or any acquisition vehicle to take any further action.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1.j</w:t>
      </w:r>
      <w:r>
        <w:rPr>
          <w:rFonts w:ascii="Times New Roman;sans-serif" w:hAnsi="Times New Roman;sans-serif"/>
          <w:b/>
          <w:color w:val="000000"/>
          <w:sz w:val="22"/>
          <w:u w:val="single"/>
        </w:rPr>
        <w:t>Collateral and Guaranty Matters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Without limiting the provisions of </w:t>
      </w:r>
      <w:r>
        <w:rPr>
          <w:rFonts w:ascii="Times New Roman;sans-serif" w:hAnsi="Times New Roman;sans-serif"/>
          <w:b w:val="false"/>
          <w:color w:val="000000"/>
          <w:sz w:val="22"/>
          <w:u w:val="single"/>
        </w:rPr>
        <w:t>Section 10.09</w:t>
      </w:r>
      <w:r>
        <w:rPr>
          <w:rFonts w:ascii="Times New Roman;sans-serif" w:hAnsi="Times New Roman;sans-serif"/>
          <w:b w:val="false"/>
          <w:color w:val="000000"/>
          <w:sz w:val="22"/>
        </w:rPr>
        <w:t>, each of the Lenders (including in its capacities as a potential Cash Management Bank and a potential Hedge Bank) and the L/C Issuer irrevocably authorize the Administrative Agent, at its option and in its discretion,</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and the expiration or termination of all Letters of Credit (other than Letters of Credit as to which other arrangements satisfactory to the Administrative Agent and the L/C Issuer shall have been made), (ii) that is transferred or to be transferred as part of or in connection with any transfer permitted hereunder or under any other Loan Document or any Involuntary Disposition, or (iii) as approved in accordance with </w:t>
      </w:r>
      <w:r>
        <w:rPr>
          <w:rFonts w:ascii="Times New Roman;sans-serif" w:hAnsi="Times New Roman;sans-serif"/>
          <w:b w:val="false"/>
          <w:color w:val="000000"/>
          <w:sz w:val="22"/>
          <w:u w:val="single"/>
        </w:rPr>
        <w:t>Section 11.01</w:t>
      </w:r>
      <w:r>
        <w:rPr>
          <w:rFonts w:ascii="Times New Roman;sans-serif" w:hAnsi="Times New Roman;sans-serif"/>
          <w:b w:val="false"/>
          <w:color w:val="000000"/>
          <w:sz w:val="22"/>
        </w:rPr>
        <w:t>;</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(ii)to subordinate any Lien on any property granted to or held by the Administrative Agent under any Loan Document to the holder of any Lien on such property that is permitted by </w:t>
      </w:r>
      <w:r>
        <w:rPr>
          <w:rFonts w:ascii="Times New Roman;sans-serif" w:hAnsi="Times New Roman;sans-serif"/>
          <w:b w:val="false"/>
          <w:color w:val="000000"/>
          <w:sz w:val="22"/>
          <w:u w:val="single"/>
        </w:rPr>
        <w:t>Section 8.01(i)</w:t>
      </w:r>
      <w:r>
        <w:rPr>
          <w:rFonts w:ascii="Times New Roman;sans-serif" w:hAnsi="Times New Roman;sans-serif"/>
          <w:b w:val="false"/>
          <w:color w:val="000000"/>
          <w:sz w:val="22"/>
        </w:rPr>
        <w:t>;</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(iii)to release any Guarantor from its obligations under the Guaranty if such Person (i) ceases to be a Subsidiary as a result of a transaction permitted hereunder or (ii) becomes subject to regulation by a Governmental Authority which prohibits such Person from being a Guarantor or which imposes a minimum net capital requirement on such Person that would be materially and adversely affected by continuation of such Guaranty; and</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(iv)to (i) release any Lien on any property of a Loan Party granted to or held by the Administrative Agent under any Loan Document, to the extent the Borrower notifies the Administrative Agent that any such Loan Party is a Limited Guarantor or an Excluded Subsidiary (or any direct Subsidiary of such Loan Party is an Omitted Subsidiary), and/or (ii) release a Guarantor from its obligations under the Guaranty, to the extent the Borrower notifies the Administrative Agent that such Guarantor is an Excluded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sans-serif" w:hAnsi="Times New Roman;sans-serif"/>
          <w:b w:val="false"/>
          <w:color w:val="000000"/>
          <w:sz w:val="22"/>
          <w:u w:val="single"/>
        </w:rPr>
        <w:t>Section 10.10</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1.k</w:t>
      </w:r>
      <w:r>
        <w:rPr>
          <w:rFonts w:ascii="Times New Roman;sans-serif" w:hAnsi="Times New Roman;sans-serif"/>
          <w:b/>
          <w:color w:val="000000"/>
          <w:sz w:val="22"/>
          <w:u w:val="single"/>
        </w:rPr>
        <w:t>Secured Cash Management Agreements and Secured Hedge Agreements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 Cash Management Bank or Hedge Bank that obtains the benefit of </w:t>
      </w:r>
      <w:r>
        <w:rPr>
          <w:rFonts w:ascii="Times New Roman;sans-serif" w:hAnsi="Times New Roman;sans-serif"/>
          <w:b w:val="false"/>
          <w:color w:val="000000"/>
          <w:sz w:val="22"/>
          <w:u w:val="single"/>
        </w:rPr>
        <w:t>Section 9.03</w:t>
      </w:r>
      <w:r>
        <w:rPr>
          <w:rFonts w:ascii="Times New Roman;sans-serif" w:hAnsi="Times New Roman;sans-serif"/>
          <w:b w:val="false"/>
          <w:color w:val="000000"/>
          <w:sz w:val="22"/>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to the contrary, the Administrative Agent shall not be required to verify the payment of, or that other satisfactory arrangements have been made with respect to, Obligations arising under Secured Cash Management Agreements and Secured Hedge Agreements except to the extent expressly provided herein and unless the Administrative Agent has received a Secured Party Designation Notice 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w:t>
      </w:r>
    </w:p>
    <w:p>
      <w:pPr>
        <w:pStyle w:val="TextBody"/>
        <w:bidi w:val="0"/>
        <w:spacing w:lineRule="auto" w:line="240" w:before="0" w:after="240"/>
        <w:ind w:left="0" w:right="0" w:firstLine="720"/>
        <w:jc w:val="both"/>
        <w:rPr/>
      </w:pPr>
      <w:r>
        <w:rPr>
          <w:rFonts w:ascii="Times New Roman;sans-serif" w:hAnsi="Times New Roman;sans-serif"/>
          <w:b/>
          <w:color w:val="000000"/>
          <w:sz w:val="22"/>
        </w:rPr>
        <w:t>1.l</w:t>
      </w:r>
      <w:r>
        <w:rPr>
          <w:rFonts w:ascii="Times New Roman;sans-serif" w:hAnsi="Times New Roman;sans-serif"/>
          <w:b/>
          <w:color w:val="000000"/>
          <w:sz w:val="22"/>
          <w:u w:val="single"/>
        </w:rPr>
        <w:t>ERISA Matters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    such other representation, warranty and covenant as may be agreed in writing between the Administrative Agent, in its sole discretion, and such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 xml:space="preserve">(v)In addition, unless either (1) </w:t>
      </w:r>
      <w:r>
        <w:rPr>
          <w:rFonts w:ascii="Times New Roman;sans-serif" w:hAnsi="Times New Roman;sans-serif"/>
          <w:b w:val="false"/>
          <w:color w:val="000000"/>
          <w:sz w:val="22"/>
          <w:u w:val="single"/>
        </w:rPr>
        <w:t>sub-clause (i)</w:t>
      </w:r>
      <w:r>
        <w:rPr>
          <w:color w:val="000000"/>
        </w:rPr>
        <w:t xml:space="preserve"> </w:t>
      </w:r>
      <w:r>
        <w:rPr>
          <w:rFonts w:ascii="Times New Roman;sans-serif" w:hAnsi="Times New Roman;sans-serif"/>
          <w:b w:val="false"/>
          <w:color w:val="000000"/>
          <w:sz w:val="22"/>
        </w:rPr>
        <w:t xml:space="preserve">in the immediately preceding </w:t>
      </w:r>
      <w:r>
        <w:rPr>
          <w:rFonts w:ascii="Times New Roman;sans-serif" w:hAnsi="Times New Roman;sans-serif"/>
          <w:b w:val="false"/>
          <w:color w:val="000000"/>
          <w:sz w:val="22"/>
          <w:u w:val="single"/>
        </w:rPr>
        <w:t>clause (a)</w:t>
      </w:r>
      <w:r>
        <w:rPr>
          <w:color w:val="000000"/>
        </w:rPr>
        <w:t xml:space="preserve"> </w:t>
      </w:r>
      <w:r>
        <w:rPr>
          <w:rFonts w:ascii="Times New Roman;sans-serif" w:hAnsi="Times New Roman;sans-serif"/>
          <w:b w:val="false"/>
          <w:color w:val="000000"/>
          <w:sz w:val="22"/>
        </w:rPr>
        <w:t xml:space="preserve">is true with respect to a Lender or (2) a Lender has provided another representation, warranty and covenant in accordance with </w:t>
      </w:r>
      <w:r>
        <w:rPr>
          <w:rFonts w:ascii="Times New Roman;sans-serif" w:hAnsi="Times New Roman;sans-serif"/>
          <w:b w:val="false"/>
          <w:color w:val="000000"/>
          <w:sz w:val="22"/>
          <w:u w:val="single"/>
        </w:rPr>
        <w:t>sub-clause (iv)</w:t>
      </w:r>
      <w:r>
        <w:rPr>
          <w:color w:val="000000"/>
        </w:rPr>
        <w:t xml:space="preserve"> </w:t>
      </w:r>
      <w:r>
        <w:rPr>
          <w:rFonts w:ascii="Times New Roman;sans-serif" w:hAnsi="Times New Roman;sans-serif"/>
          <w:b w:val="false"/>
          <w:color w:val="000000"/>
          <w:sz w:val="22"/>
        </w:rPr>
        <w:t xml:space="preserve">in the immediately preceding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hereto or thereto).</w:t>
      </w:r>
    </w:p>
    <w:p>
      <w:pPr>
        <w:pStyle w:val="TextBody"/>
        <w:bidi w:val="0"/>
        <w:spacing w:lineRule="auto" w:line="240" w:before="0" w:after="240"/>
        <w:ind w:left="0" w:right="0" w:firstLine="720"/>
        <w:jc w:val="both"/>
        <w:rPr/>
      </w:pPr>
      <w:r>
        <w:rPr>
          <w:rFonts w:ascii="Times New Roman;sans-serif" w:hAnsi="Times New Roman;sans-serif"/>
          <w:b/>
          <w:color w:val="000000"/>
          <w:sz w:val="22"/>
        </w:rPr>
        <w:t>1.m</w:t>
      </w:r>
      <w:r>
        <w:rPr>
          <w:rFonts w:ascii="Times New Roman;sans-serif" w:hAnsi="Times New Roman;sans-serif"/>
          <w:b/>
          <w:color w:val="000000"/>
          <w:sz w:val="22"/>
          <w:u w:val="single"/>
        </w:rPr>
        <w:t>Recovery of Erroneous Payments</w:t>
      </w:r>
      <w:r>
        <w:rPr>
          <w:rFonts w:ascii="Times New Roman;sans-serif" w:hAnsi="Times New Roman;sans-serif"/>
          <w:b w:val="false"/>
          <w:color w:val="000000"/>
          <w:sz w:val="22"/>
        </w:rPr>
        <w:t xml:space="preserve">.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lineRule="auto" w:line="240" w:before="0" w:after="240"/>
        <w:jc w:val="center"/>
        <w:rPr/>
      </w:pPr>
      <w:r>
        <w:rPr>
          <w:rFonts w:ascii="Times New Roman;sans-serif" w:hAnsi="Times New Roman;sans-serif"/>
          <w:b/>
          <w:color w:val="000000"/>
          <w:sz w:val="22"/>
        </w:rPr>
        <w:t>Article 11.</w:t>
      </w:r>
      <w:r>
        <w:rPr>
          <w:rFonts w:ascii="Times New Roman;sans-serif" w:hAnsi="Times New Roman;sans-serif"/>
          <w:b/>
          <w:color w:val="000000"/>
          <w:sz w:val="22"/>
        </w:rPr>
        <w:br/>
        <w:br/>
        <w:t>MISCELLANEOUS</w:t>
      </w:r>
    </w:p>
    <w:p>
      <w:pPr>
        <w:pStyle w:val="TextBody"/>
        <w:bidi w:val="0"/>
        <w:spacing w:lineRule="auto" w:line="240" w:before="0" w:after="240"/>
        <w:ind w:left="0" w:right="0" w:firstLine="720"/>
        <w:jc w:val="both"/>
        <w:rPr/>
      </w:pPr>
      <w:r>
        <w:rPr>
          <w:rFonts w:ascii="Times New Roman;sans-serif" w:hAnsi="Times New Roman;sans-serif"/>
          <w:b/>
          <w:color w:val="000000"/>
          <w:sz w:val="22"/>
        </w:rPr>
        <w:t>1.01</w:t>
      </w:r>
      <w:r>
        <w:rPr>
          <w:rFonts w:ascii="Times New Roman;sans-serif" w:hAnsi="Times New Roman;sans-serif"/>
          <w:b/>
          <w:color w:val="000000"/>
          <w:sz w:val="22"/>
          <w:u w:val="single"/>
        </w:rPr>
        <w:t>Amendments, Etc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 amendment or waiver of any provision of this Agreement or any other Loan Document, and no consent to any departure by any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rFonts w:ascii="Times New Roman;sans-serif" w:hAnsi="Times New Roman;sans-serif"/>
          <w:b w:val="false"/>
          <w:color w:val="000000"/>
          <w:sz w:val="22"/>
        </w:rPr>
      </w:pPr>
      <w:r>
        <w:rPr>
          <w:rFonts w:ascii="Times New Roman;sans-serif" w:hAnsi="Times New Roman;sans-serif"/>
          <w:b w:val="false"/>
          <w:color w:val="000000"/>
          <w:sz w:val="22"/>
        </w:rPr>
        <w:t>(i)no such amendment, waiver or consent shall:</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(1)extend or increase any Commitment of a Lender (or reinstate any Commitment terminated pursuant to </w:t>
      </w:r>
      <w:r>
        <w:rPr>
          <w:rFonts w:ascii="Times New Roman;sans-serif" w:hAnsi="Times New Roman;sans-serif"/>
          <w:b w:val="false"/>
          <w:color w:val="000000"/>
          <w:sz w:val="22"/>
          <w:u w:val="single"/>
        </w:rPr>
        <w:t>Section 9.02</w:t>
      </w:r>
      <w:r>
        <w:rPr>
          <w:rFonts w:ascii="Times New Roman;sans-serif" w:hAnsi="Times New Roman;sans-serif"/>
          <w:b w:val="false"/>
          <w:color w:val="000000"/>
          <w:sz w:val="22"/>
        </w:rPr>
        <w:t xml:space="preserve">) without the written consent of such Lender whose Commitment is being extended or increased (it being understood and agreed that a waiver of any condition precedent set forth in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or of any Default or a mandatory reduction in Commitments is not considered an extension or increase in Commitments of any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(2)postpone any date fixed by this Agreement or any other Loan Document for any payment (excluding mandatory prepayments) of principal, interest, fees or other amounts due to the Lenders (or any of them) or any scheduled reduction of the Commitments hereunder or under any other Loan Document without the written consent of each Lender entitled to receive such payment or whose Commitments are to be reduced;</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(3)reduce the principal of, or the rate of interest specified herein on, any Loan or L/C Borrowing, or (subject to </w:t>
      </w:r>
      <w:r>
        <w:rPr>
          <w:rFonts w:ascii="Times New Roman;sans-serif" w:hAnsi="Times New Roman;sans-serif"/>
          <w:b w:val="false"/>
          <w:color w:val="000000"/>
          <w:sz w:val="22"/>
          <w:u w:val="single"/>
        </w:rPr>
        <w:t>clause (i)</w:t>
      </w:r>
      <w:r>
        <w:rPr>
          <w:color w:val="000000"/>
        </w:rPr>
        <w:t xml:space="preserve"> </w:t>
      </w:r>
      <w:r>
        <w:rPr>
          <w:rFonts w:ascii="Times New Roman;sans-serif" w:hAnsi="Times New Roman;sans-serif"/>
          <w:b w:val="false"/>
          <w:color w:val="000000"/>
          <w:sz w:val="22"/>
        </w:rPr>
        <w:t xml:space="preserve">of the final proviso to this </w:t>
      </w:r>
      <w:r>
        <w:rPr>
          <w:rFonts w:ascii="Times New Roman;sans-serif" w:hAnsi="Times New Roman;sans-serif"/>
          <w:b w:val="false"/>
          <w:color w:val="000000"/>
          <w:sz w:val="22"/>
          <w:u w:val="single"/>
        </w:rPr>
        <w:t>Section 11.01</w:t>
      </w:r>
      <w:r>
        <w:rPr>
          <w:rFonts w:ascii="Times New Roman;sans-serif" w:hAnsi="Times New Roman;sans-serif"/>
          <w:b w:val="false"/>
          <w:color w:val="000000"/>
          <w:sz w:val="22"/>
        </w:rPr>
        <w:t xml:space="preserve">) any fees or other amounts payable hereunder or under any other Loan Document without the written consent of each Lender entitled to receive such amount;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only the consent of the Required Lenders shall be necessary to (A) amend the definition of “Default Rate” or waive any obligation of the Borrower to pay interest or Letter of Credit Fees at the Default Rate or (B) amend any Financial Covenant (or any defined term used therein) even if the effect of such amendment would be to reduce the rate of interest on any Loan or L/C Borrowing or to reduce any fee payable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(4)(A) change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9.03</w:t>
      </w:r>
      <w:r>
        <w:rPr>
          <w:color w:val="000000"/>
        </w:rPr>
        <w:t xml:space="preserve"> </w:t>
      </w:r>
      <w:r>
        <w:rPr>
          <w:rFonts w:ascii="Times New Roman;sans-serif" w:hAnsi="Times New Roman;sans-serif"/>
          <w:b w:val="false"/>
          <w:color w:val="000000"/>
          <w:sz w:val="22"/>
        </w:rPr>
        <w:t xml:space="preserve">in a manner that would alter the pro rata sharing of commitment reductions or payments required thereby without the written consent of each Lender directly affected thereby, (B) subordinate the Obligations hereunder to any other Indebtedness or other obligation, without the written consent of each Lender, (C) except as permitted pursuant to </w:t>
      </w:r>
      <w:r>
        <w:rPr>
          <w:rFonts w:ascii="Times New Roman;sans-serif" w:hAnsi="Times New Roman;sans-serif"/>
          <w:b w:val="false"/>
          <w:color w:val="000000"/>
          <w:sz w:val="22"/>
          <w:u w:val="single"/>
        </w:rPr>
        <w:t>Section 10.10(b)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11.19(b)</w:t>
      </w:r>
      <w:r>
        <w:rPr>
          <w:rFonts w:ascii="Times New Roman;sans-serif" w:hAnsi="Times New Roman;sans-serif"/>
          <w:b w:val="false"/>
          <w:color w:val="000000"/>
          <w:sz w:val="22"/>
        </w:rPr>
        <w:t xml:space="preserve">, subordinate the Liens securing the Obligations to Liens securing any other Indebtedness or other obligations, without the written consent of each Lender or (D) change </w:t>
      </w:r>
      <w:r>
        <w:rPr>
          <w:rFonts w:ascii="Times New Roman;sans-serif" w:hAnsi="Times New Roman;sans-serif"/>
          <w:b w:val="false"/>
          <w:color w:val="000000"/>
          <w:sz w:val="22"/>
          <w:u w:val="single"/>
        </w:rPr>
        <w:t>Section 2.16</w:t>
      </w:r>
      <w:r>
        <w:rPr>
          <w:color w:val="000000"/>
        </w:rPr>
        <w:t xml:space="preserve"> </w:t>
      </w:r>
      <w:r>
        <w:rPr>
          <w:rFonts w:ascii="Times New Roman;sans-serif" w:hAnsi="Times New Roman;sans-serif"/>
          <w:b w:val="false"/>
          <w:color w:val="000000"/>
          <w:sz w:val="22"/>
        </w:rPr>
        <w:t>in a manner adverse to the Non-Extending Lender, without the written consent of the Non-Extending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(5)(A) change any provision of this </w:t>
      </w:r>
      <w:r>
        <w:rPr>
          <w:rFonts w:ascii="Times New Roman;sans-serif" w:hAnsi="Times New Roman;sans-serif"/>
          <w:b w:val="false"/>
          <w:color w:val="000000"/>
          <w:sz w:val="22"/>
          <w:u w:val="single"/>
        </w:rPr>
        <w:t>Section 11.01(a)</w:t>
      </w:r>
      <w:r>
        <w:rPr>
          <w:color w:val="000000"/>
        </w:rPr>
        <w:t xml:space="preserve"> </w:t>
      </w:r>
      <w:r>
        <w:rPr>
          <w:rFonts w:ascii="Times New Roman;sans-serif" w:hAnsi="Times New Roman;sans-serif"/>
          <w:b w:val="false"/>
          <w:color w:val="000000"/>
          <w:sz w:val="22"/>
        </w:rPr>
        <w:t xml:space="preserve">or the definition of “Required Lenders” without the written consent of each Lender directly affected thereby, or (B) change this </w:t>
      </w:r>
      <w:r>
        <w:rPr>
          <w:rFonts w:ascii="Times New Roman;sans-serif" w:hAnsi="Times New Roman;sans-serif"/>
          <w:b w:val="false"/>
          <w:color w:val="000000"/>
          <w:sz w:val="22"/>
          <w:u w:val="single"/>
        </w:rPr>
        <w:t>Section 11.01(a)(v)(B)</w:t>
      </w:r>
      <w:r>
        <w:rPr>
          <w:color w:val="000000"/>
        </w:rPr>
        <w:t xml:space="preserve"> </w:t>
      </w:r>
      <w:r>
        <w:rPr>
          <w:rFonts w:ascii="Times New Roman;sans-serif" w:hAnsi="Times New Roman;sans-serif"/>
          <w:b w:val="false"/>
          <w:color w:val="000000"/>
          <w:sz w:val="22"/>
        </w:rPr>
        <w:t>or the definition of “Required Revolving Lenders” without the written consent of each Revolving Lender directly affected thereby;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(6)release all or substantially all of the Collateral without the written consent of each Lender whose Obligations are secured by such Collateral;</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(7)release the Borrower without the consent of each Lender, or, except in connection with a transaction permitted under </w:t>
      </w:r>
      <w:r>
        <w:rPr>
          <w:rFonts w:ascii="Times New Roman;sans-serif" w:hAnsi="Times New Roman;sans-serif"/>
          <w:b w:val="false"/>
          <w:color w:val="000000"/>
          <w:sz w:val="22"/>
          <w:u w:val="single"/>
        </w:rPr>
        <w:t>Section 8.04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8.05</w:t>
      </w:r>
      <w:r>
        <w:rPr>
          <w:rFonts w:ascii="Times New Roman;sans-serif" w:hAnsi="Times New Roman;sans-serif"/>
          <w:b w:val="false"/>
          <w:color w:val="000000"/>
          <w:sz w:val="22"/>
        </w:rPr>
        <w:t xml:space="preserve">, all or substantially all of the value of the Guaranty without the written consent of each Lender whose Obligations are guarantied thereby, except to the extent such release is permitted pursuant to </w:t>
      </w:r>
      <w:r>
        <w:rPr>
          <w:rFonts w:ascii="Times New Roman;sans-serif" w:hAnsi="Times New Roman;sans-serif"/>
          <w:b w:val="false"/>
          <w:color w:val="000000"/>
          <w:sz w:val="22"/>
          <w:u w:val="single"/>
        </w:rPr>
        <w:t>Section 10.10</w:t>
      </w:r>
      <w:r>
        <w:rPr>
          <w:color w:val="000000"/>
        </w:rPr>
        <w:t xml:space="preserve"> </w:t>
      </w:r>
      <w:r>
        <w:rPr>
          <w:rFonts w:ascii="Times New Roman;sans-serif" w:hAnsi="Times New Roman;sans-serif"/>
          <w:b w:val="false"/>
          <w:color w:val="000000"/>
          <w:sz w:val="22"/>
        </w:rPr>
        <w:t>(in which case such release may be made by the Administrative Agent acting alone);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(8)prior to the termination of the Aggregate Revolving Commitments, unless also signed by the Required Revolving Lenders, (i) waive any Default or Event of Default for purposes of </w:t>
      </w:r>
      <w:r>
        <w:rPr>
          <w:rFonts w:ascii="Times New Roman;sans-serif" w:hAnsi="Times New Roman;sans-serif"/>
          <w:b w:val="false"/>
          <w:color w:val="000000"/>
          <w:sz w:val="22"/>
          <w:u w:val="single"/>
        </w:rPr>
        <w:t>Section 5.02(b)</w:t>
      </w:r>
      <w:r>
        <w:rPr>
          <w:rFonts w:ascii="Times New Roman;sans-serif" w:hAnsi="Times New Roman;sans-serif"/>
          <w:b w:val="false"/>
          <w:color w:val="000000"/>
          <w:sz w:val="22"/>
        </w:rPr>
        <w:t xml:space="preserve">, (ii) amend, change, waive, discharge or terminate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9.01</w:t>
      </w:r>
      <w:r>
        <w:rPr>
          <w:color w:val="000000"/>
        </w:rPr>
        <w:t xml:space="preserve"> </w:t>
      </w:r>
      <w:r>
        <w:rPr>
          <w:rFonts w:ascii="Times New Roman;sans-serif" w:hAnsi="Times New Roman;sans-serif"/>
          <w:b w:val="false"/>
          <w:color w:val="000000"/>
          <w:sz w:val="22"/>
        </w:rPr>
        <w:t xml:space="preserve">in a manner adverse to the Revolving Lenders or (iii) amend, change, waive, discharge or terminate this </w:t>
      </w:r>
      <w:r>
        <w:rPr>
          <w:rFonts w:ascii="Times New Roman;sans-serif" w:hAnsi="Times New Roman;sans-serif"/>
          <w:b w:val="false"/>
          <w:color w:val="000000"/>
          <w:sz w:val="22"/>
          <w:u w:val="single"/>
        </w:rPr>
        <w:t>Section 11.01(a)(viii)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8.11</w:t>
      </w:r>
      <w:r>
        <w:rPr>
          <w:color w:val="000000"/>
        </w:rPr>
        <w:t xml:space="preserve"> </w:t>
      </w:r>
      <w:r>
        <w:rPr>
          <w:rFonts w:ascii="Times New Roman;sans-serif" w:hAnsi="Times New Roman;sans-serif"/>
          <w:b w:val="false"/>
          <w:color w:val="000000"/>
          <w:sz w:val="22"/>
        </w:rPr>
        <w:t xml:space="preserve">(or any defined term used therein); </w:t>
      </w:r>
    </w:p>
    <w:p>
      <w:pPr>
        <w:pStyle w:val="TextBody"/>
        <w:bidi w:val="0"/>
        <w:spacing w:lineRule="auto" w:line="240" w:before="0" w:after="240"/>
        <w:ind w:left="0" w:right="0" w:firstLine="452"/>
        <w:jc w:val="both"/>
        <w:rPr>
          <w:rFonts w:ascii="Times New Roman;sans-serif" w:hAnsi="Times New Roman;sans-serif"/>
          <w:b w:val="false"/>
          <w:color w:val="000000"/>
          <w:sz w:val="22"/>
        </w:rPr>
      </w:pPr>
      <w:r>
        <w:rPr>
          <w:rFonts w:ascii="Times New Roman;sans-serif" w:hAnsi="Times New Roman;sans-serif"/>
          <w:b w:val="false"/>
          <w:color w:val="000000"/>
          <w:sz w:val="22"/>
        </w:rPr>
        <w:t>(ii)unless also signed by the L/C Issuer, no amendment, waiver or consent shall affect the rights or duties of the L/C Issuer under this Agreement or any Issuer Document relating to any Letter of Credit issued or to be issued by it;</w:t>
      </w:r>
    </w:p>
    <w:p>
      <w:pPr>
        <w:pStyle w:val="TextBody"/>
        <w:bidi w:val="0"/>
        <w:spacing w:lineRule="auto" w:line="240" w:before="0" w:after="240"/>
        <w:ind w:left="0" w:right="0" w:firstLine="391"/>
        <w:jc w:val="both"/>
        <w:rPr>
          <w:rFonts w:ascii="Times New Roman;sans-serif" w:hAnsi="Times New Roman;sans-serif"/>
          <w:b w:val="false"/>
          <w:color w:val="000000"/>
          <w:sz w:val="22"/>
        </w:rPr>
      </w:pPr>
      <w:r>
        <w:rPr>
          <w:rFonts w:ascii="Times New Roman;sans-serif" w:hAnsi="Times New Roman;sans-serif"/>
          <w:b w:val="false"/>
          <w:color w:val="000000"/>
          <w:sz w:val="22"/>
        </w:rPr>
        <w:t>(iii)unless also signed by the Swing Line Lender, no amendment, waiver or consent shall affect the rights or duties of the Swing Line Lender under this Agreement; and</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(iv)unless also signed by the Administrative Agent, no amendment, waiver or consent shall affect the rights or duties of the Administrative Agent under this Agreement or any other Loan Document;</w: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(iii) the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Lenders shall determine whether or not to allow a Loan Party to use cash collateral in the context of a bankruptcy or insolvency proceeding and such determination shall be binding on all of the Lenders, (iv)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Commitments of any Defaulting Lender may not be increased or extended without the consent of such Lender and (B) any waiver, amendment or modification requiring the consent of all Lenders or each affected Lender that by its terms affects any Defaulting Lender disproportionately adversely than other affected Lenders shall require the consent of such Defaulting Lender, (v) this Agreement or any other Loan Document may be amended, modified or supplemented as permitted pursuant to </w:t>
      </w:r>
      <w:r>
        <w:rPr>
          <w:rFonts w:ascii="Times New Roman;sans-serif" w:hAnsi="Times New Roman;sans-serif"/>
          <w:b w:val="false"/>
          <w:color w:val="000000"/>
          <w:sz w:val="22"/>
          <w:u w:val="single"/>
        </w:rPr>
        <w:t>Section 2.02(g)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2.16(b)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 xml:space="preserve">, (vi) the Administrative Agent and the Borrower may amend, modify or supplement this Agreement or any other Loan Document (A) in order to implement any Incremental Facility in accordance with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 xml:space="preserve">, solely to the extent necessary to implement such Incremental Facility in accordance with </w:t>
      </w:r>
      <w:r>
        <w:rPr>
          <w:rFonts w:ascii="Times New Roman;sans-serif" w:hAnsi="Times New Roman;sans-serif"/>
          <w:b w:val="false"/>
          <w:color w:val="000000"/>
          <w:sz w:val="22"/>
          <w:u w:val="single"/>
        </w:rPr>
        <w:t>Section 2.01(b)</w:t>
      </w:r>
      <w:r>
        <w:rPr>
          <w:rFonts w:ascii="Times New Roman;sans-serif" w:hAnsi="Times New Roman;sans-serif"/>
          <w:b w:val="false"/>
          <w:color w:val="000000"/>
          <w:sz w:val="22"/>
        </w:rPr>
        <w:t xml:space="preserve">, including amendments to this </w:t>
      </w:r>
      <w:r>
        <w:rPr>
          <w:rFonts w:ascii="Times New Roman;sans-serif" w:hAnsi="Times New Roman;sans-serif"/>
          <w:b w:val="false"/>
          <w:color w:val="000000"/>
          <w:sz w:val="22"/>
          <w:u w:val="single"/>
        </w:rPr>
        <w:t>Section 11.01</w:t>
      </w:r>
      <w:r>
        <w:rPr>
          <w:color w:val="000000"/>
        </w:rPr>
        <w:t xml:space="preserve"> </w:t>
      </w:r>
      <w:r>
        <w:rPr>
          <w:rFonts w:ascii="Times New Roman;sans-serif" w:hAnsi="Times New Roman;sans-serif"/>
          <w:b w:val="false"/>
          <w:color w:val="000000"/>
          <w:sz w:val="22"/>
        </w:rPr>
        <w:t xml:space="preserve">as may be necessary to include the Lenders providing such Incremental Facility or implement such Incremental Facility by the Borrower, the other Loan Parties, the Administrative Agent and the relevant Lenders providing such Incremental Facility, and (B) to cure or correct administrative errors or omissions, any ambiguity, omission, defect or inconsistency or to effect administrative changes, and such amendment shall become effective without any further consent of any other party to such Loan Document so long as (1) such amendment, modification or supplement does not adversely affect the rights of any Lender or other holder of Obligations in any material respect and (2)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(vii) as to any amendment, amendment and restatement or other modifications otherwise approved in accordance with this Section,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 and (viii) to the extent Indebtedness permitted pursuant to </w:t>
      </w:r>
      <w:r>
        <w:rPr>
          <w:rFonts w:ascii="Times New Roman;sans-serif" w:hAnsi="Times New Roman;sans-serif"/>
          <w:b w:val="false"/>
          <w:color w:val="000000"/>
          <w:sz w:val="22"/>
          <w:u w:val="single"/>
        </w:rPr>
        <w:t>Section 8.03(q)</w:t>
      </w:r>
      <w:r>
        <w:rPr>
          <w:color w:val="000000"/>
        </w:rPr>
        <w:t xml:space="preserve"> </w:t>
      </w:r>
      <w:r>
        <w:rPr>
          <w:rFonts w:ascii="Times New Roman;sans-serif" w:hAnsi="Times New Roman;sans-serif"/>
          <w:b w:val="false"/>
          <w:color w:val="000000"/>
          <w:sz w:val="22"/>
        </w:rPr>
        <w:t>is incurred under this Agreement, the Administrative Agent and the Borrower (without the consent of any other party to this Agreement or any other Loan Document) may amend, modify or supplement this Agreement or any other Loan Document to permit the incurrence of such Indebtedness under this Agreement, including amendments, modifications or supplements (A) to reflect the existence and terms of such Indebtedness, (B) to make such other changes to this Agreement and the other Loan Documents consistent with the provisions and intent of such Indebtedness, including adding provisions to permit such Indebtedness to share in the benefits of this Agreement and the other Loan Documents and to include the lenders for such Indebtedness in the definition of “Required Lenders” or any other similar voting provisions (including the addition of customary class voting protection and customary repricing amendment provisions with respect to such Indebtedness), as applicable, and (C) to effect such other amendments to the this Agreement and the other Loan Documents as may be necessary or appropriate, in the reasonable opinion of the Administrative Agent, to effect the provisions of any such Indebtedness.</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u w:val="single"/>
        </w:rPr>
        <w:t>Notices; Effectiveness; Electronic Communications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Notices Generally</w:t>
      </w:r>
      <w:r>
        <w:rPr>
          <w:rFonts w:ascii="Times New Roman;sans-serif" w:hAnsi="Times New Roman;sans-serif"/>
          <w:b w:val="false"/>
          <w:color w:val="000000"/>
          <w:sz w:val="22"/>
        </w:rPr>
        <w:t xml:space="preserve">. Except in the case of notices and other communications expressly permitted to be given by telephone (and except as provided in </w:t>
      </w:r>
      <w:r>
        <w:rPr>
          <w:rFonts w:ascii="Times New Roman;sans-serif" w:hAnsi="Times New Roman;sans-serif"/>
          <w:b w:val="false"/>
          <w:color w:val="000000"/>
          <w:sz w:val="22"/>
          <w:u w:val="single"/>
        </w:rPr>
        <w:t>Section 11.02(b)</w:t>
      </w:r>
      <w:r>
        <w:rPr>
          <w:rFonts w:ascii="Times New Roman;sans-serif" w:hAnsi="Times New Roman;sans-serif"/>
          <w:b w:val="false"/>
          <w:color w:val="000000"/>
          <w:sz w:val="22"/>
        </w:rPr>
        <w:t>),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(1)if to any Loan Party, the Administrative Agent, the L/C Issuer or the Swing Line Lender, to the address, facsimile number, electronic mail address or telephone number specified for such Person on </w:t>
      </w:r>
      <w:r>
        <w:rPr>
          <w:rFonts w:ascii="Times New Roman;sans-serif" w:hAnsi="Times New Roman;sans-serif"/>
          <w:b w:val="false"/>
          <w:color w:val="000000"/>
          <w:sz w:val="22"/>
          <w:u w:val="single"/>
        </w:rPr>
        <w:t>Schedule 11.02</w:t>
      </w:r>
      <w:r>
        <w:rPr>
          <w:rFonts w:ascii="Times New Roman;sans-serif" w:hAnsi="Times New Roman;sans-serif"/>
          <w:b w:val="false"/>
          <w:color w:val="000000"/>
          <w:sz w:val="22"/>
        </w:rPr>
        <w:t>; and</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sans-serif" w:hAnsi="Times New Roman;sans-serif"/>
          <w:b w:val="false"/>
          <w:color w:val="000000"/>
          <w:sz w:val="22"/>
          <w:u w:val="single"/>
        </w:rPr>
        <w:t>Section 11.02(b)</w:t>
      </w:r>
      <w:r>
        <w:rPr>
          <w:rFonts w:ascii="Times New Roman;sans-serif" w:hAnsi="Times New Roman;sans-serif"/>
          <w:b w:val="false"/>
          <w:color w:val="000000"/>
          <w:sz w:val="22"/>
        </w:rPr>
        <w:t xml:space="preserve">, shall be effective as provided in </w:t>
      </w:r>
      <w:r>
        <w:rPr>
          <w:rFonts w:ascii="Times New Roman;sans-serif" w:hAnsi="Times New Roman;sans-serif"/>
          <w:b w:val="false"/>
          <w:color w:val="000000"/>
          <w:sz w:val="22"/>
          <w:u w:val="single"/>
        </w:rPr>
        <w:t>Section 11.02(b)</w:t>
      </w:r>
      <w:r>
        <w:rPr>
          <w:rFonts w:ascii="Times New Roman;sans-serif" w:hAnsi="Times New Roman;sans-serif"/>
          <w:b w:val="false"/>
          <w:color w:val="000000"/>
          <w:sz w:val="22"/>
        </w:rPr>
        <w:t>.</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Electronic Communications</w:t>
      </w:r>
      <w:r>
        <w:rPr>
          <w:rFonts w:ascii="Times New Roman;sans-serif" w:hAnsi="Times New Roman;sans-serif"/>
          <w:b w:val="false"/>
          <w:color w:val="000000"/>
          <w:sz w:val="22"/>
        </w:rPr>
        <w:t xml:space="preserve">. Notices and other communications to the Lenders and the L/C Issuer hereunder may be delivered or furnished by electronic communication (including e-mail, FpmL messaging and Internet or intranet websites) pursuant to procedures approved by the Administrative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foregoing shall not apply to notices to any Lender or the L/C Issuer pursuant to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if such Lender or the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for both </w:t>
      </w:r>
      <w:r>
        <w:rPr>
          <w:rFonts w:ascii="Times New Roman;sans-serif" w:hAnsi="Times New Roman;sans-serif"/>
          <w:b w:val="false"/>
          <w:color w:val="000000"/>
          <w:sz w:val="22"/>
          <w:u w:val="single"/>
        </w:rPr>
        <w:t>clauses (i)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rFonts w:ascii="Times New Roman;sans-serif" w:hAnsi="Times New Roman;sans-serif"/>
          <w:b w:val="false"/>
          <w:color w:val="000000"/>
          <w:sz w:val="22"/>
        </w:rPr>
        <w:t>,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The Platform</w:t>
      </w:r>
      <w:r>
        <w:rPr>
          <w:rFonts w:ascii="Times New Roman;sans-serif" w:hAnsi="Times New Roman;sans-serif"/>
          <w:b w:val="false"/>
          <w:color w:val="000000"/>
          <w:sz w:val="22"/>
        </w:rPr>
        <w:t xml:space="preserve">. </w:t>
      </w:r>
      <w:r>
        <w:rPr>
          <w:rFonts w:ascii="Times New Roman;sans-serif" w:hAnsi="Times New Roman;sans-serif"/>
          <w:b/>
          <w:color w:val="000000"/>
          <w:sz w:val="22"/>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w:t>
      </w:r>
      <w:r>
        <w:rPr>
          <w:color w:val="000000"/>
        </w:rPr>
        <w:t xml:space="preserve"> </w:t>
      </w:r>
      <w:r>
        <w:rPr>
          <w:rFonts w:ascii="Times New Roman;sans-serif" w:hAnsi="Times New Roman;sans-serif"/>
          <w:b w:val="false"/>
          <w:color w:val="000000"/>
          <w:sz w:val="22"/>
        </w:rPr>
        <w:t>In no event shall the Administrative Agent or any of its Related Parties (collectively, the “</w:t>
      </w:r>
      <w:r>
        <w:rPr>
          <w:rFonts w:ascii="Times New Roman;sans-serif" w:hAnsi="Times New Roman;sans-serif"/>
          <w:b w:val="false"/>
          <w:color w:val="000000"/>
          <w:sz w:val="22"/>
          <w:u w:val="single"/>
        </w:rPr>
        <w:t>Agent Parties</w:t>
      </w:r>
      <w:r>
        <w:rPr>
          <w:color w:val="000000"/>
        </w:rPr>
        <w:t>”</w:t>
      </w:r>
      <w:r>
        <w:rPr>
          <w:rFonts w:ascii="Times New Roman;sans-serif" w:hAnsi="Times New Roman;sans-serif"/>
          <w:b w:val="false"/>
          <w:color w:val="000000"/>
          <w:sz w:val="22"/>
        </w:rPr>
        <w:t xml:space="preserve">) have any liability to the Borrower, any Lender, the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in no event shall any Agent Party have any liability to the Borrower, any Lender, the L/C Issuer or any other Person for indirect, special, incidental, consequential or punitive damages (as opposed to direct or actual damages).</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Change of Address, Etc.</w:t>
      </w:r>
      <w:r>
        <w:rPr>
          <w:color w:val="000000"/>
        </w:rPr>
        <w:t xml:space="preserve"> </w:t>
      </w:r>
      <w:r>
        <w:rPr>
          <w:rFonts w:ascii="Times New Roman;sans-serif" w:hAnsi="Times New Roman;sans-serif"/>
          <w:b w:val="false"/>
          <w:color w:val="000000"/>
          <w:sz w:val="22"/>
        </w:rPr>
        <w:t xml:space="preserve">Each of the Borrower, the Administrative Agent, the L/C Issuer and the Swing Line Lender may change its address, facsimile or telephone number for notices and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communications hereunder by notice to the other parties hereto. Each other Lender may change its address, facsimile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Reliance by Administrative Agent, L/C Issuer and Lenders</w:t>
      </w:r>
      <w:r>
        <w:rPr>
          <w:rFonts w:ascii="Times New Roman;sans-serif" w:hAnsi="Times New Roman;sans-serif"/>
          <w:b w:val="false"/>
          <w:color w:val="000000"/>
          <w:sz w:val="22"/>
        </w:rPr>
        <w:t>. The Administrative Agent, the L/C Issuer and the Lenders shall be entitled to rely and act upon any notices (including telephonic or electronic notices,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u w:val="single"/>
        </w:rPr>
        <w:t>No Waiver; Cumulative Remedies; Enforcement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sans-serif" w:hAnsi="Times New Roman;sans-serif"/>
          <w:b w:val="false"/>
          <w:color w:val="000000"/>
          <w:sz w:val="22"/>
          <w:u w:val="single"/>
        </w:rPr>
        <w:t>Section 9.02</w:t>
      </w:r>
      <w:r>
        <w:rPr>
          <w:color w:val="000000"/>
        </w:rPr>
        <w:t xml:space="preserve"> </w:t>
      </w:r>
      <w:r>
        <w:rPr>
          <w:rFonts w:ascii="Times New Roman;sans-serif" w:hAnsi="Times New Roman;sans-serif"/>
          <w:b w:val="false"/>
          <w:color w:val="000000"/>
          <w:sz w:val="22"/>
        </w:rPr>
        <w:t xml:space="preserve">for the benefit of all the Lenders and the L/C Issuer;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sans-serif" w:hAnsi="Times New Roman;sans-serif"/>
          <w:b w:val="false"/>
          <w:color w:val="000000"/>
          <w:sz w:val="22"/>
          <w:u w:val="single"/>
        </w:rPr>
        <w:t>Section 11.08</w:t>
      </w:r>
      <w:r>
        <w:rPr>
          <w:color w:val="000000"/>
        </w:rPr>
        <w:t xml:space="preserve"> </w:t>
      </w:r>
      <w:r>
        <w:rPr>
          <w:rFonts w:ascii="Times New Roman;sans-serif" w:hAnsi="Times New Roman;sans-serif"/>
          <w:b w:val="false"/>
          <w:color w:val="000000"/>
          <w:sz w:val="22"/>
        </w:rPr>
        <w:t xml:space="preserve">(subject to the terms of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or (d) any Lender from filing proofs of claim or appearing and filing pleadings on its own behalf during the pendency of a proceeding relative to any Loan Party under any Debtor Relief Law;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if at any time there is no Person acting as Administrative Agent hereunder and under the other Loan Documents, then (i) the Required Lenders shall have the rights otherwise ascribed to the Administrative Agent pursuant to </w:t>
      </w:r>
      <w:r>
        <w:rPr>
          <w:rFonts w:ascii="Times New Roman;sans-serif" w:hAnsi="Times New Roman;sans-serif"/>
          <w:b w:val="false"/>
          <w:color w:val="000000"/>
          <w:sz w:val="22"/>
          <w:u w:val="single"/>
        </w:rPr>
        <w:t>Section 9.02</w:t>
      </w:r>
      <w:r>
        <w:rPr>
          <w:color w:val="000000"/>
        </w:rPr>
        <w:t xml:space="preserve"> </w:t>
      </w:r>
      <w:r>
        <w:rPr>
          <w:rFonts w:ascii="Times New Roman;sans-serif" w:hAnsi="Times New Roman;sans-serif"/>
          <w:b w:val="false"/>
          <w:color w:val="000000"/>
          <w:sz w:val="22"/>
        </w:rPr>
        <w:t xml:space="preserve">and (ii) in addition to the matters set forth in </w:t>
      </w:r>
      <w:r>
        <w:rPr>
          <w:rFonts w:ascii="Times New Roman;sans-serif" w:hAnsi="Times New Roman;sans-serif"/>
          <w:b w:val="false"/>
          <w:color w:val="000000"/>
          <w:sz w:val="22"/>
          <w:u w:val="single"/>
        </w:rPr>
        <w:t>clauses (b)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of the preceding proviso and subject to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any Lender may, with the consent of the Required Lenders, enforce any rights and remedies available to it and as authorized by the Required Lenders.</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1.04</w:t>
      </w:r>
      <w:r>
        <w:rPr>
          <w:rFonts w:ascii="Times New Roman;sans-serif" w:hAnsi="Times New Roman;sans-serif"/>
          <w:b/>
          <w:color w:val="000000"/>
          <w:sz w:val="22"/>
          <w:u w:val="single"/>
        </w:rPr>
        <w:t>Expenses; Indemnity; and Damage Waiver</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Borrower shall pay (i) all reasonable out-of-pocket expenses incurred by the Administrative Agent and its Affiliates (including the reasonable fees, charges and disbursements of one primary counsel for the Administrative Agent, one firm of special and/or regulatory counsel retained by the Administrative Agent in each applicable specialty or regulatory area and one firm of local counsel retained by the Administrative Agent in each applicable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reasonable and documented out-of-pocket expenses incurred by the Administrative Agent, any Lender or the L/C Issuer (including reasonable and documented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Indemnification by the Borrower</w:t>
      </w:r>
      <w:r>
        <w:rPr>
          <w:rFonts w:ascii="Times New Roman;sans-serif" w:hAnsi="Times New Roman;sans-serif"/>
          <w:b w:val="false"/>
          <w:color w:val="000000"/>
          <w:sz w:val="22"/>
        </w:rPr>
        <w:t>. The Borrower shall indemnify the Administrative Agent (and any sub-agent thereof), each Lender and the L/C Issuer,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Person (including any Loan Party) other than such Indemnitee and its Related Parties arising out of, in connection with, or as a result of (i) the execution or delivery of this Agreement, any other Loan Document or any agreement or instrument contemplated hereby or thereby (including any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Without limiting the provisions of </w:t>
      </w:r>
      <w:r>
        <w:rPr>
          <w:rFonts w:ascii="Times New Roman;sans-serif" w:hAnsi="Times New Roman;sans-serif"/>
          <w:b w:val="false"/>
          <w:color w:val="000000"/>
          <w:sz w:val="22"/>
          <w:u w:val="single"/>
        </w:rPr>
        <w:t>Section 3.01(c)</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11.04(b)</w:t>
      </w:r>
      <w:r>
        <w:rPr>
          <w:color w:val="000000"/>
        </w:rPr>
        <w:t xml:space="preserve"> </w:t>
      </w:r>
      <w:r>
        <w:rPr>
          <w:rFonts w:ascii="Times New Roman;sans-serif" w:hAnsi="Times New Roman;sans-serif"/>
          <w:b w:val="false"/>
          <w:color w:val="000000"/>
          <w:sz w:val="22"/>
        </w:rPr>
        <w:t>shall not apply with respect to Taxes other than any Taxes that represent losses, claims, damages, etc. arising from any non-Tax claim.</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Reimbursement by Lenders</w:t>
      </w:r>
      <w:r>
        <w:rPr>
          <w:rFonts w:ascii="Times New Roman;sans-serif" w:hAnsi="Times New Roman;sans-serif"/>
          <w:b w:val="false"/>
          <w:color w:val="000000"/>
          <w:sz w:val="22"/>
        </w:rPr>
        <w:t xml:space="preserve">. To the extent that the Borrower for any reason fails to indefeasibly pay any amount required under </w:t>
      </w:r>
      <w:r>
        <w:rPr>
          <w:rFonts w:ascii="Times New Roman;sans-serif" w:hAnsi="Times New Roman;sans-serif"/>
          <w:b w:val="false"/>
          <w:color w:val="000000"/>
          <w:sz w:val="22"/>
          <w:u w:val="single"/>
        </w:rPr>
        <w:t>Section 11.04(a)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11.04(b)</w:t>
      </w:r>
      <w:r>
        <w:rPr>
          <w:color w:val="000000"/>
        </w:rPr>
        <w:t xml:space="preserve"> </w:t>
      </w:r>
      <w:r>
        <w:rPr>
          <w:rFonts w:ascii="Times New Roman;sans-serif" w:hAnsi="Times New Roman;sans-serif"/>
          <w:b w:val="false"/>
          <w:color w:val="000000"/>
          <w:sz w:val="22"/>
        </w:rPr>
        <w:t xml:space="preserve">to be paid by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Exposures of all Lenders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Times New Roman;sans-serif" w:hAnsi="Times New Roman;sans-serif"/>
          <w:b w:val="false"/>
          <w:color w:val="000000"/>
          <w:sz w:val="22"/>
          <w:u w:val="single"/>
        </w:rPr>
        <w:t>Section 11.04(c)</w:t>
      </w:r>
      <w:r>
        <w:rPr>
          <w:color w:val="000000"/>
        </w:rPr>
        <w:t xml:space="preserve"> </w:t>
      </w:r>
      <w:r>
        <w:rPr>
          <w:rFonts w:ascii="Times New Roman;sans-serif" w:hAnsi="Times New Roman;sans-serif"/>
          <w:b w:val="false"/>
          <w:color w:val="000000"/>
          <w:sz w:val="22"/>
        </w:rPr>
        <w:t xml:space="preserve">are subject to the provisions of </w:t>
      </w:r>
      <w:r>
        <w:rPr>
          <w:rFonts w:ascii="Times New Roman;sans-serif" w:hAnsi="Times New Roman;sans-serif"/>
          <w:b w:val="false"/>
          <w:color w:val="000000"/>
          <w:sz w:val="22"/>
          <w:u w:val="single"/>
        </w:rPr>
        <w:t>Section 2.12(d)</w:t>
      </w:r>
      <w:r>
        <w:rPr>
          <w:rFonts w:ascii="Times New Roman;sans-serif" w:hAnsi="Times New Roman;sans-serif"/>
          <w:b w:val="false"/>
          <w:color w:val="000000"/>
          <w:sz w:val="22"/>
        </w:rPr>
        <w: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Waiver of Consequential Damages, Etc.</w:t>
      </w:r>
      <w:r>
        <w:rPr>
          <w:color w:val="000000"/>
        </w:rPr>
        <w:t xml:space="preserve"> </w:t>
      </w:r>
      <w:r>
        <w:rPr>
          <w:rFonts w:ascii="Times New Roman;sans-serif" w:hAnsi="Times New Roman;sans-serif"/>
          <w:b w:val="false"/>
          <w:color w:val="000000"/>
          <w:sz w:val="22"/>
        </w:rPr>
        <w:t xml:space="preserve">To the fullest extent permitted by applicable law, no party hereto shall assert, and each party hereto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nothing contained in this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shall relieve the Borrower of any obligation to indemnify an Indemnitee against special, indirect, consequential or punitive damages asserted against such Indemnitee by a third party claim. No Indemnitee referred to </w:t>
      </w:r>
      <w:r>
        <w:rPr>
          <w:rFonts w:ascii="Times New Roman;sans-serif" w:hAnsi="Times New Roman;sans-serif"/>
          <w:b w:val="false"/>
          <w:color w:val="000000"/>
          <w:sz w:val="22"/>
          <w:u w:val="single"/>
        </w:rPr>
        <w:t>Section 11.04(b)</w:t>
      </w:r>
      <w:r>
        <w:rPr>
          <w:color w:val="000000"/>
        </w:rPr>
        <w:t xml:space="preserve"> </w:t>
      </w:r>
      <w:r>
        <w:rPr>
          <w:rFonts w:ascii="Times New Roman;sans-serif" w:hAnsi="Times New Roman;sans-serif"/>
          <w:b w:val="false"/>
          <w:color w:val="000000"/>
          <w:sz w:val="22"/>
        </w:rPr>
        <w:t>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All amounts due under this Section shall be payable not later than ten Business Days after demand therefor.</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The agreements in this Section and the indemnity provisions of </w:t>
      </w:r>
      <w:r>
        <w:rPr>
          <w:rFonts w:ascii="Times New Roman;sans-serif" w:hAnsi="Times New Roman;sans-serif"/>
          <w:b w:val="false"/>
          <w:color w:val="000000"/>
          <w:sz w:val="22"/>
          <w:u w:val="single"/>
        </w:rPr>
        <w:t>Section 11.02(e)</w:t>
      </w:r>
      <w:r>
        <w:rPr>
          <w:color w:val="000000"/>
        </w:rPr>
        <w:t xml:space="preserve"> </w:t>
      </w:r>
      <w:r>
        <w:rPr>
          <w:rFonts w:ascii="Times New Roman;sans-serif" w:hAnsi="Times New Roman;sans-serif"/>
          <w:b w:val="false"/>
          <w:color w:val="000000"/>
          <w:sz w:val="22"/>
        </w:rPr>
        <w:t>shall survive the resignation of the Administrative Agent, the L/C Issuer and the Swing Line Lender, the replacement of any Lender, the termination of the Aggregate Commitments and the repayment, satisfaction or discharge of all the other Obligations.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u w:val="single"/>
        </w:rPr>
        <w:t>Payments Set Aside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of the preceding sentence shall survive the payment in full of the Obligations and the termination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u w:val="single"/>
        </w:rPr>
        <w:t>Successors and Assigns</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xml:space="preserve">.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sans-serif" w:hAnsi="Times New Roman;sans-serif"/>
          <w:b w:val="false"/>
          <w:color w:val="000000"/>
          <w:sz w:val="22"/>
          <w:u w:val="single"/>
        </w:rPr>
        <w:t>Section 11.06(b)</w:t>
      </w:r>
      <w:r>
        <w:rPr>
          <w:rFonts w:ascii="Times New Roman;sans-serif" w:hAnsi="Times New Roman;sans-serif"/>
          <w:b w:val="false"/>
          <w:color w:val="000000"/>
          <w:sz w:val="22"/>
        </w:rPr>
        <w:t xml:space="preserve">, (ii) by way of participation in accordance with the provisions of </w:t>
      </w:r>
      <w:r>
        <w:rPr>
          <w:rFonts w:ascii="Times New Roman;sans-serif" w:hAnsi="Times New Roman;sans-serif"/>
          <w:b w:val="false"/>
          <w:color w:val="000000"/>
          <w:sz w:val="22"/>
          <w:u w:val="single"/>
        </w:rPr>
        <w:t>Section 11.06(d)</w:t>
      </w:r>
      <w:r>
        <w:rPr>
          <w:color w:val="000000"/>
        </w:rPr>
        <w:t xml:space="preserve"> </w:t>
      </w:r>
      <w:r>
        <w:rPr>
          <w:rFonts w:ascii="Times New Roman;sans-serif" w:hAnsi="Times New Roman;sans-serif"/>
          <w:b w:val="false"/>
          <w:color w:val="000000"/>
          <w:sz w:val="22"/>
        </w:rPr>
        <w:t xml:space="preserve">or (iii) by way of pledge or assignment of a security interest subject to the restrictions of </w:t>
      </w:r>
      <w:r>
        <w:rPr>
          <w:rFonts w:ascii="Times New Roman;sans-serif" w:hAnsi="Times New Roman;sans-serif"/>
          <w:b w:val="false"/>
          <w:color w:val="000000"/>
          <w:sz w:val="22"/>
          <w:u w:val="single"/>
        </w:rPr>
        <w:t>Section 11.06(e)</w:t>
      </w:r>
      <w:r>
        <w:rPr>
          <w:color w:val="000000"/>
        </w:rPr>
        <w:t xml:space="preserve"> </w:t>
      </w:r>
      <w:r>
        <w:rPr>
          <w:rFonts w:ascii="Times New Roman;sans-serif" w:hAnsi="Times New Roman;sans-serif"/>
          <w:b w:val="false"/>
          <w:color w:val="000000"/>
          <w:sz w:val="22"/>
        </w:rPr>
        <w:t xml:space="preserve">(and, subject to </w:t>
      </w:r>
      <w:r>
        <w:rPr>
          <w:rFonts w:ascii="Times New Roman;sans-serif" w:hAnsi="Times New Roman;sans-serif"/>
          <w:b w:val="false"/>
          <w:color w:val="000000"/>
          <w:sz w:val="22"/>
          <w:u w:val="single"/>
        </w:rPr>
        <w:t>Section 11.06(g)</w:t>
      </w:r>
      <w:r>
        <w:rPr>
          <w:rFonts w:ascii="Times New Roman;sans-serif" w:hAnsi="Times New Roman;sans-serif"/>
          <w:b w:val="false"/>
          <w:color w:val="000000"/>
          <w:sz w:val="22"/>
        </w:rPr>
        <w:t xml:space="preserve">,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sans-serif" w:hAnsi="Times New Roman;sans-serif"/>
          <w:b w:val="false"/>
          <w:color w:val="000000"/>
          <w:sz w:val="22"/>
          <w:u w:val="single"/>
        </w:rPr>
        <w:t>Section 11.06(d)</w:t>
      </w:r>
      <w:r>
        <w:rPr>
          <w:color w:val="000000"/>
        </w:rPr>
        <w:t xml:space="preserve"> </w:t>
      </w:r>
      <w:r>
        <w:rPr>
          <w:rFonts w:ascii="Times New Roman;sans-serif" w:hAnsi="Times New Roman;sans-serif"/>
          <w:b w:val="false"/>
          <w:color w:val="000000"/>
          <w:sz w:val="22"/>
        </w:rPr>
        <w:t xml:space="preserve">and, to the extent expressly contemplated hereby, the Related Parties of each of the Administrative Agent, the L/C Issuer and the Lenders) any legal or equitable right, remedy or claim under or by reason of this Agreement. For the avoidance of doubt, it is hereby understood and agreed by all parties to this Agreement that the assignment provisions of </w:t>
      </w:r>
      <w:r>
        <w:rPr>
          <w:rFonts w:ascii="Times New Roman;sans-serif" w:hAnsi="Times New Roman;sans-serif"/>
          <w:b w:val="false"/>
          <w:color w:val="000000"/>
          <w:sz w:val="22"/>
          <w:u w:val="single"/>
        </w:rPr>
        <w:t>Section 11.06</w:t>
      </w:r>
      <w:r>
        <w:rPr>
          <w:color w:val="000000"/>
        </w:rPr>
        <w:t xml:space="preserve"> </w:t>
      </w:r>
      <w:r>
        <w:rPr>
          <w:rFonts w:ascii="Times New Roman;sans-serif" w:hAnsi="Times New Roman;sans-serif"/>
          <w:b w:val="false"/>
          <w:color w:val="000000"/>
          <w:sz w:val="22"/>
        </w:rPr>
        <w:t>shall not apply to any Person in its capacity as a Hedge Bank or affect its status or rights as a secured party in respect of any Secured Hedge Agreement.</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sans-serif" w:hAnsi="Times New Roman;sans-serif"/>
          <w:b w:val="false"/>
          <w:color w:val="000000"/>
          <w:sz w:val="22"/>
          <w:u w:val="single"/>
        </w:rPr>
        <w:t>Section 11.06(b)</w:t>
      </w:r>
      <w:r>
        <w:rPr>
          <w:rFonts w:ascii="Times New Roman;sans-serif" w:hAnsi="Times New Roman;sans-serif"/>
          <w:b w:val="false"/>
          <w:color w:val="000000"/>
          <w:sz w:val="22"/>
        </w:rPr>
        <w:t xml:space="preserve">, participations in L/C Obligations and in Swing Line Loans) at the time owing to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any such assignment shall be subject to the following conditions: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Minimum Amounts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(1)In the case of an assignment of the entire remaining amount of the assigning Lender’s Commitment under any Facility and the related Loans at the time owing to it (in each case with respect to any Facility) or contemporaneous assignments to related Approved Funds (determined after giving effect to such assignments) that equal at least the amount specified in </w:t>
      </w:r>
      <w:r>
        <w:rPr>
          <w:rFonts w:ascii="Times New Roman;sans-serif" w:hAnsi="Times New Roman;sans-serif"/>
          <w:b w:val="false"/>
          <w:color w:val="000000"/>
          <w:sz w:val="22"/>
          <w:u w:val="single"/>
        </w:rPr>
        <w:t>Section 11.06(b)(i)(B)</w:t>
      </w:r>
      <w:r>
        <w:rPr>
          <w:color w:val="000000"/>
        </w:rPr>
        <w:t xml:space="preserve"> </w:t>
      </w:r>
      <w:r>
        <w:rPr>
          <w:rFonts w:ascii="Times New Roman;sans-serif" w:hAnsi="Times New Roman;sans-serif"/>
          <w:b w:val="false"/>
          <w:color w:val="000000"/>
          <w:sz w:val="22"/>
        </w:rPr>
        <w:t>of this Section in the aggregate or in the case of an assignment to a Lender, an Affiliate of a Lender or an Approved Fund, no minimum amount need be assigned.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(2)In any case not described in </w:t>
      </w:r>
      <w:r>
        <w:rPr>
          <w:rFonts w:ascii="Times New Roman;sans-serif" w:hAnsi="Times New Roman;sans-serif"/>
          <w:b w:val="false"/>
          <w:color w:val="000000"/>
          <w:sz w:val="22"/>
          <w:u w:val="single"/>
        </w:rPr>
        <w:t>Section 11.06(b)(i)(A)</w:t>
      </w:r>
      <w:r>
        <w:rPr>
          <w:rFonts w:ascii="Times New Roman;sans-serif" w:hAnsi="Times New Roman;sans-serif"/>
          <w:b w:val="false"/>
          <w:color w:val="000000"/>
          <w:sz w:val="22"/>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Revolving Commitment (and the related Revolving Loans thereunder), or $1,000,000, in the case of any assignment in respect of any Incremental Term Facility, unless each of the Administrative Agent and, so long as no Event of Default has occurred and is continuing, the Borrower otherwise consents (each such consent not to be unreasonably withheld or delayed).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sans-serif" w:hAnsi="Times New Roman;sans-serif"/>
          <w:b w:val="false"/>
          <w:color w:val="000000"/>
          <w:sz w:val="22"/>
          <w:u w:val="single"/>
        </w:rPr>
        <w:t>clause (ii)</w:t>
      </w:r>
      <w:r>
        <w:rPr>
          <w:color w:val="000000"/>
        </w:rPr>
        <w:t xml:space="preserve"> </w:t>
      </w:r>
      <w:r>
        <w:rPr>
          <w:rFonts w:ascii="Times New Roman;sans-serif" w:hAnsi="Times New Roman;sans-serif"/>
          <w:b w:val="false"/>
          <w:color w:val="000000"/>
          <w:sz w:val="22"/>
        </w:rPr>
        <w:t>shall not apply to the Swing Line Lender’s rights and obligations in respect of Swing Line Loans;</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xml:space="preserve">. No consent shall be required for any assignment except to the extent required by </w:t>
      </w:r>
      <w:r>
        <w:rPr>
          <w:rFonts w:ascii="Times New Roman;sans-serif" w:hAnsi="Times New Roman;sans-serif"/>
          <w:b w:val="false"/>
          <w:color w:val="000000"/>
          <w:sz w:val="22"/>
          <w:u w:val="single"/>
        </w:rPr>
        <w:t>Section 11.06(b)(i)(B)</w:t>
      </w:r>
      <w:r>
        <w:rPr>
          <w:color w:val="000000"/>
        </w:rPr>
        <w:t xml:space="preserve"> </w:t>
      </w:r>
      <w:r>
        <w:rPr>
          <w:rFonts w:ascii="Times New Roman;sans-serif" w:hAnsi="Times New Roman;sans-serif"/>
          <w:b w:val="false"/>
          <w:color w:val="000000"/>
          <w:sz w:val="22"/>
        </w:rPr>
        <w:t>and, in addition: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Borrower shall be deemed to have consented to any such assignment unless it shall object thereto by written notice to the Administrative Agent within five (5) Business Days after having received notice thereof;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(2)the consent of the Administrative Agent (such consent not to be unreasonably withheld or delayed) shall be required for assignments in respect of (i) any unfunded Incremental Term Commitment or any Revolving Commitment if such assignment is to a Person that is not a Lender with a Commitment in respect of the applicable Facility, an Affiliate of such Lender or an Approved Fund with respect to such Lender, or (ii) any Incremental Term Loan to a Person that is not a Lender, an Affiliate of a Lender or an Approved Fund;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(3)the consent of the L/C Issuer and the Swing Line Lender (such consent not to be unreasonably withheld or delayed) shall be required for any assignment in respect of Revolving Loans and Revolving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Administrative Agent may, in its sole discretion, elect to waive such processing and recordation fee in the case of any assignment. The assignee, if it shall not be a Lender, shall deliver to the Administrative Agent an Administrative Questionnaire.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xml:space="preserve">. No such assignment shall be made to (A) the Borrower or any of the Borrower’s Affiliates or Subsidiaries, (B) any Defaulting Lender or any of its Subsidiaries, any Approved Fund managed by a Defaulting Lender or any Person who, upon becoming a Lender hereunder, would constitute any of the foregoing Persons described in this </w:t>
      </w:r>
      <w:r>
        <w:rPr>
          <w:rFonts w:ascii="Times New Roman;sans-serif" w:hAnsi="Times New Roman;sans-serif"/>
          <w:b w:val="false"/>
          <w:color w:val="000000"/>
          <w:sz w:val="22"/>
          <w:u w:val="single"/>
        </w:rPr>
        <w:t>clause (B)</w:t>
      </w:r>
      <w:r>
        <w:rPr>
          <w:rFonts w:ascii="Times New Roman;sans-serif" w:hAnsi="Times New Roman;sans-serif"/>
          <w:b w:val="false"/>
          <w:color w:val="000000"/>
          <w:sz w:val="22"/>
        </w:rPr>
        <w:t>, or (C) a natural Person (or a holding company, investment vehicle or trust for, or owned and operated for the primary benefit of one or more natural Persons).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Certain Additional Payments</w:t>
      </w:r>
      <w:r>
        <w:rPr>
          <w:rFonts w:ascii="Times New Roman;sans-serif" w:hAnsi="Times New Roman;sans-serif"/>
          <w:b w:val="false"/>
          <w:color w:val="000000"/>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relevant Applicable Percentages.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Subject to acceptance and recording thereof by the Administrative Agent pursuant to </w:t>
      </w:r>
      <w:r>
        <w:rPr>
          <w:rFonts w:ascii="Times New Roman;sans-serif" w:hAnsi="Times New Roman;sans-serif"/>
          <w:b w:val="false"/>
          <w:color w:val="000000"/>
          <w:sz w:val="22"/>
          <w:u w:val="single"/>
        </w:rPr>
        <w:t>Section 11.06(c)</w:t>
      </w:r>
      <w:r>
        <w:rPr>
          <w:rFonts w:ascii="Times New Roman;sans-serif" w:hAnsi="Times New Roman;sans-serif"/>
          <w:b w:val="false"/>
          <w:color w:val="000000"/>
          <w:sz w:val="22"/>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Sections 3.01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11.04</w:t>
      </w:r>
      <w:r>
        <w:rPr>
          <w:color w:val="000000"/>
        </w:rPr>
        <w:t xml:space="preserve"> </w:t>
      </w:r>
      <w:r>
        <w:rPr>
          <w:rFonts w:ascii="Times New Roman;sans-serif" w:hAnsi="Times New Roman;sans-serif"/>
          <w:b w:val="false"/>
          <w:color w:val="000000"/>
          <w:sz w:val="22"/>
        </w:rPr>
        <w:t xml:space="preserve">with respect to facts and circumstances occurring prior to the effective date of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sans-serif" w:hAnsi="Times New Roman;sans-serif"/>
          <w:b w:val="false"/>
          <w:color w:val="000000"/>
          <w:sz w:val="22"/>
          <w:u w:val="single"/>
        </w:rPr>
        <w:t>Section 11.06(d)</w:t>
      </w:r>
      <w:r>
        <w:rPr>
          <w:rFonts w:ascii="Times New Roman;sans-serif" w:hAnsi="Times New Roman;sans-serif"/>
          <w:b w:val="false"/>
          <w:color w:val="000000"/>
          <w:sz w:val="22"/>
        </w:rPr>
        <w:t>.</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Agreement (including all or a portion of its Commitment(s) and/or the Loans (including such Lender’s participations in L/C Obligations and/or Swing Line Loans) owing to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sans-serif" w:hAnsi="Times New Roman;sans-serif"/>
          <w:b w:val="false"/>
          <w:color w:val="000000"/>
          <w:sz w:val="22"/>
          <w:u w:val="single"/>
        </w:rPr>
        <w:t>Section 11.04(c)</w:t>
      </w:r>
      <w:r>
        <w:rPr>
          <w:color w:val="000000"/>
        </w:rPr>
        <w:t xml:space="preserve"> </w:t>
      </w:r>
      <w:r>
        <w:rPr>
          <w:rFonts w:ascii="Times New Roman;sans-serif" w:hAnsi="Times New Roman;sans-serif"/>
          <w:b w:val="false"/>
          <w:color w:val="000000"/>
          <w:sz w:val="22"/>
        </w:rPr>
        <w:t>without regard to the existence of any participation.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agreement or instrument may provide that such Lender will not, without the consent of the Participant, agree to any amendment, waiver or other modification described in </w:t>
      </w:r>
      <w:r>
        <w:rPr>
          <w:rFonts w:ascii="Times New Roman;sans-serif" w:hAnsi="Times New Roman;sans-serif"/>
          <w:b w:val="false"/>
          <w:color w:val="000000"/>
          <w:sz w:val="22"/>
          <w:u w:val="single"/>
        </w:rPr>
        <w:t>Section 11.01(a)</w:t>
      </w:r>
      <w:r>
        <w:rPr>
          <w:color w:val="000000"/>
        </w:rPr>
        <w:t xml:space="preserve"> </w:t>
      </w:r>
      <w:r>
        <w:rPr>
          <w:rFonts w:ascii="Times New Roman;sans-serif" w:hAnsi="Times New Roman;sans-serif"/>
          <w:b w:val="false"/>
          <w:color w:val="000000"/>
          <w:sz w:val="22"/>
        </w:rPr>
        <w:t xml:space="preserve">that affects such Participant. The Borrower agrees that each Participant shall be entitled to the benefits </w:t>
      </w:r>
      <w:r>
        <w:rPr>
          <w:rFonts w:ascii="Times New Roman;sans-serif" w:hAnsi="Times New Roman;sans-serif"/>
          <w:b w:val="false"/>
          <w:color w:val="000000"/>
          <w:sz w:val="22"/>
          <w:u w:val="single"/>
        </w:rPr>
        <w:t>of Sections 3.01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3.04</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3.05</w:t>
      </w:r>
      <w:r>
        <w:rPr>
          <w:color w:val="000000"/>
        </w:rPr>
        <w:t xml:space="preserve"> </w:t>
      </w:r>
      <w:r>
        <w:rPr>
          <w:rFonts w:ascii="Times New Roman;sans-serif" w:hAnsi="Times New Roman;sans-serif"/>
          <w:b w:val="false"/>
          <w:color w:val="000000"/>
          <w:sz w:val="22"/>
        </w:rPr>
        <w:t xml:space="preserve">(it being understood that the documentation required under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 xml:space="preserve">shall be delivered to the Lender who sells the participation) to the same extent as if it were a Lender and had acquired its interest by assignment pursuant to </w:t>
      </w:r>
      <w:r>
        <w:rPr>
          <w:rFonts w:ascii="Times New Roman;sans-serif" w:hAnsi="Times New Roman;sans-serif"/>
          <w:b w:val="false"/>
          <w:color w:val="000000"/>
          <w:sz w:val="22"/>
          <w:u w:val="single"/>
        </w:rPr>
        <w:t>Section 11.06(b)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Participant (A) agrees to be subject to the provisions of </w:t>
      </w:r>
      <w:r>
        <w:rPr>
          <w:rFonts w:ascii="Times New Roman;sans-serif" w:hAnsi="Times New Roman;sans-serif"/>
          <w:b w:val="false"/>
          <w:color w:val="000000"/>
          <w:sz w:val="22"/>
          <w:u w:val="single"/>
        </w:rPr>
        <w:t>Sections 3.06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11.13</w:t>
      </w:r>
      <w:r>
        <w:rPr>
          <w:color w:val="000000"/>
        </w:rPr>
        <w:t xml:space="preserve"> </w:t>
      </w:r>
      <w:r>
        <w:rPr>
          <w:rFonts w:ascii="Times New Roman;sans-serif" w:hAnsi="Times New Roman;sans-serif"/>
          <w:b w:val="false"/>
          <w:color w:val="000000"/>
          <w:sz w:val="22"/>
        </w:rPr>
        <w:t xml:space="preserve">as if it were an assignee under </w:t>
      </w:r>
      <w:r>
        <w:rPr>
          <w:rFonts w:ascii="Times New Roman;sans-serif" w:hAnsi="Times New Roman;sans-serif"/>
          <w:b w:val="false"/>
          <w:color w:val="000000"/>
          <w:sz w:val="22"/>
          <w:u w:val="single"/>
        </w:rPr>
        <w:t>Section 11.06(b)</w:t>
      </w:r>
      <w:r>
        <w:rPr>
          <w:color w:val="000000"/>
        </w:rPr>
        <w:t xml:space="preserve"> </w:t>
      </w:r>
      <w:r>
        <w:rPr>
          <w:rFonts w:ascii="Times New Roman;sans-serif" w:hAnsi="Times New Roman;sans-serif"/>
          <w:b w:val="false"/>
          <w:color w:val="000000"/>
          <w:sz w:val="22"/>
        </w:rPr>
        <w:t xml:space="preserve">and (B) shall not be entitled to receive any greater payment under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with respect to any participation, than the Lender from whom it acquired the applicable participation would have been entitled to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ans-serif" w:hAnsi="Times New Roman;sans-serif"/>
          <w:b w:val="false"/>
          <w:color w:val="000000"/>
          <w:sz w:val="22"/>
          <w:u w:val="single"/>
        </w:rPr>
        <w:t>Section 3.06</w:t>
      </w:r>
      <w:r>
        <w:rPr>
          <w:color w:val="000000"/>
        </w:rPr>
        <w:t xml:space="preserve"> </w:t>
      </w:r>
      <w:r>
        <w:rPr>
          <w:rFonts w:ascii="Times New Roman;sans-serif" w:hAnsi="Times New Roman;sans-serif"/>
          <w:b w:val="false"/>
          <w:color w:val="000000"/>
          <w:sz w:val="22"/>
        </w:rPr>
        <w:t xml:space="preserve">with respect to any Participant. To the extent permitted by law, each Participant also shall be entitled to the benefits of </w:t>
      </w:r>
      <w:r>
        <w:rPr>
          <w:rFonts w:ascii="Times New Roman;sans-serif" w:hAnsi="Times New Roman;sans-serif"/>
          <w:b w:val="false"/>
          <w:color w:val="000000"/>
          <w:sz w:val="22"/>
          <w:u w:val="single"/>
        </w:rPr>
        <w:t>Section 11.08</w:t>
      </w:r>
      <w:r>
        <w:rPr>
          <w:color w:val="000000"/>
        </w:rPr>
        <w:t xml:space="preserve"> </w:t>
      </w:r>
      <w:r>
        <w:rPr>
          <w:rFonts w:ascii="Times New Roman;sans-serif" w:hAnsi="Times New Roman;sans-serif"/>
          <w:b w:val="false"/>
          <w:color w:val="000000"/>
          <w:sz w:val="22"/>
        </w:rPr>
        <w:t xml:space="preserve">as though it were a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Participant agrees to be subject to </w:t>
      </w:r>
      <w:r>
        <w:rPr>
          <w:rFonts w:ascii="Times New Roman;sans-serif" w:hAnsi="Times New Roman;sans-serif"/>
          <w:b w:val="false"/>
          <w:color w:val="000000"/>
          <w:sz w:val="22"/>
          <w:u w:val="single"/>
        </w:rPr>
        <w:t>Section 2.13</w:t>
      </w:r>
      <w:r>
        <w:rPr>
          <w:color w:val="000000"/>
        </w:rPr>
        <w:t xml:space="preserve"> </w:t>
      </w:r>
      <w:r>
        <w:rPr>
          <w:rFonts w:ascii="Times New Roman;sans-serif" w:hAnsi="Times New Roman;sans-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464"/>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Resignation as L/C Issuer or Swing Line Lender after Assignment</w:t>
      </w:r>
      <w:r>
        <w:rPr>
          <w:rFonts w:ascii="Times New Roman;sans-serif" w:hAnsi="Times New Roman;sans-serif"/>
          <w:b w:val="false"/>
          <w:color w:val="000000"/>
          <w:sz w:val="22"/>
        </w:rPr>
        <w:t xml:space="preserve">. Notwithstanding anything to the contrary contained herein, if at any time Bank of America assigns all of its Revolving Commitment and Revolving Loans pursuant to </w:t>
      </w:r>
      <w:r>
        <w:rPr>
          <w:rFonts w:ascii="Times New Roman;sans-serif" w:hAnsi="Times New Roman;sans-serif"/>
          <w:b w:val="false"/>
          <w:color w:val="000000"/>
          <w:sz w:val="22"/>
          <w:u w:val="single"/>
        </w:rPr>
        <w:t>Section 11.06(b)</w:t>
      </w:r>
      <w:r>
        <w:rPr>
          <w:rFonts w:ascii="Times New Roman;sans-serif" w:hAnsi="Times New Roman;sans-serif"/>
          <w:b w:val="false"/>
          <w:color w:val="000000"/>
          <w:sz w:val="22"/>
        </w:rPr>
        <w:t xml:space="preserve">, Bank of America may, (i) upon thirty days’ notice to the Borrower and the Lenders, resign as L/C Issuer and/or (ii) upon thirty days’ notice to the Borrower, resign as Swing Line Lender. In the event of any such resignation as L/C Issuer or Swing Line Lender, the Borrower shall be entitled to appoint from among the Lenders a successor L/C Issuer or Swing Line Lender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sans-serif" w:hAnsi="Times New Roman;sans-serif"/>
          <w:b w:val="false"/>
          <w:color w:val="000000"/>
          <w:sz w:val="22"/>
          <w:u w:val="single"/>
        </w:rPr>
        <w:t>Section 2.04(c)</w:t>
      </w:r>
      <w:r>
        <w:rPr>
          <w:rFonts w:ascii="Times New Roman;sans-serif" w:hAnsi="Times New Roman;sans-serif"/>
          <w:b w:val="false"/>
          <w:color w:val="000000"/>
          <w:sz w:val="22"/>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lineRule="auto" w:line="240" w:before="0" w:after="240"/>
        <w:ind w:left="0" w:right="0" w:firstLine="342"/>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Disqualified Institutions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(1)No assignment or, to the extent the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(as updated from time to time) has been posted on the Platform for all Lenders, participation shall be made to any Person that was a Disqualified Institution as of the date (the “</w:t>
      </w:r>
      <w:r>
        <w:rPr>
          <w:rFonts w:ascii="Times New Roman;sans-serif" w:hAnsi="Times New Roman;sans-serif"/>
          <w:b w:val="false"/>
          <w:color w:val="000000"/>
          <w:sz w:val="22"/>
          <w:u w:val="single"/>
        </w:rPr>
        <w:t>Trade Date</w:t>
      </w:r>
      <w:r>
        <w:rPr>
          <w:color w:val="000000"/>
        </w:rPr>
        <w:t>”</w:t>
      </w:r>
      <w:r>
        <w:rPr>
          <w:rFonts w:ascii="Times New Roman;sans-serif" w:hAnsi="Times New Roman;sans-serif"/>
          <w:b w:val="false"/>
          <w:color w:val="000000"/>
          <w:sz w:val="22"/>
        </w:rPr>
        <w:t xml:space="preserve">) on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which the applicable Lender entered into a binding agreement to sell and assign or participate all or a portion of its rights and obligations under this Agreement to such Person (unless (x) in the case of an assignment, the Borrower has consented to such assignment as otherwise contemplated by this </w:t>
      </w:r>
      <w:r>
        <w:rPr>
          <w:rFonts w:ascii="Times New Roman;sans-serif" w:hAnsi="Times New Roman;sans-serif"/>
          <w:b w:val="false"/>
          <w:color w:val="000000"/>
          <w:sz w:val="22"/>
          <w:u w:val="single"/>
        </w:rPr>
        <w:t>Section 11.06</w:t>
      </w:r>
      <w:r>
        <w:rPr>
          <w:rFonts w:ascii="Times New Roman;sans-serif" w:hAnsi="Times New Roman;sans-serif"/>
          <w:b w:val="false"/>
          <w:color w:val="000000"/>
          <w:sz w:val="22"/>
        </w:rPr>
        <w:t xml:space="preserve">, in which case such Person will not be considered a Disqualified Institution for the purpose of such assignment, or (y) in the case of a participation, the Borrower has agreed to permit the sale of a participation to a Disqualified Institution, in which case such Person will not be considered a Disqualified Institution for the purpose of such participation (it being understood and agreed that each participation shall be consummated in compliance with </w:t>
      </w:r>
      <w:r>
        <w:rPr>
          <w:rFonts w:ascii="Times New Roman;sans-serif" w:hAnsi="Times New Roman;sans-serif"/>
          <w:b w:val="false"/>
          <w:color w:val="000000"/>
          <w:sz w:val="22"/>
          <w:u w:val="single"/>
        </w:rPr>
        <w:t>Section 11.06(d)</w:t>
      </w:r>
      <w:r>
        <w:rPr>
          <w:rFonts w:ascii="Times New Roman;sans-serif" w:hAnsi="Times New Roman;sans-serif"/>
          <w:b w:val="false"/>
          <w:color w:val="000000"/>
          <w:sz w:val="22"/>
        </w:rPr>
        <w:t xml:space="preserve">, and nothing in this </w:t>
      </w:r>
      <w:r>
        <w:rPr>
          <w:rFonts w:ascii="Times New Roman;sans-serif" w:hAnsi="Times New Roman;sans-serif"/>
          <w:b w:val="false"/>
          <w:color w:val="000000"/>
          <w:sz w:val="22"/>
          <w:u w:val="single"/>
        </w:rPr>
        <w:t>clause (y)</w:t>
      </w:r>
      <w:r>
        <w:rPr>
          <w:color w:val="000000"/>
        </w:rPr>
        <w:t xml:space="preserve"> </w:t>
      </w:r>
      <w:r>
        <w:rPr>
          <w:rFonts w:ascii="Times New Roman;sans-serif" w:hAnsi="Times New Roman;sans-serif"/>
          <w:b w:val="false"/>
          <w:color w:val="000000"/>
          <w:sz w:val="22"/>
        </w:rPr>
        <w:t xml:space="preserve">shall be deemed to require a Lender to obtain the consent of, or provide notice to, the Borrower or the Administrative Agent in connection with any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such assignee shall not retroactively be considered a Disqualified Institution. Any assignment in violation of this </w:t>
      </w:r>
      <w:r>
        <w:rPr>
          <w:rFonts w:ascii="Times New Roman;sans-serif" w:hAnsi="Times New Roman;sans-serif"/>
          <w:b w:val="false"/>
          <w:color w:val="000000"/>
          <w:sz w:val="22"/>
          <w:u w:val="single"/>
        </w:rPr>
        <w:t>Section 11.06(g)(i)</w:t>
      </w:r>
      <w:r>
        <w:rPr>
          <w:color w:val="000000"/>
        </w:rPr>
        <w:t xml:space="preserve"> </w:t>
      </w:r>
      <w:r>
        <w:rPr>
          <w:rFonts w:ascii="Times New Roman;sans-serif" w:hAnsi="Times New Roman;sans-serif"/>
          <w:b w:val="false"/>
          <w:color w:val="000000"/>
          <w:sz w:val="22"/>
        </w:rPr>
        <w:t xml:space="preserve">shall not be void, but the other provisions of this </w:t>
      </w:r>
      <w:r>
        <w:rPr>
          <w:rFonts w:ascii="Times New Roman;sans-serif" w:hAnsi="Times New Roman;sans-serif"/>
          <w:b w:val="false"/>
          <w:color w:val="000000"/>
          <w:sz w:val="22"/>
          <w:u w:val="single"/>
        </w:rPr>
        <w:t>Section 11.06(g)</w:t>
      </w:r>
      <w:r>
        <w:rPr>
          <w:color w:val="000000"/>
        </w:rPr>
        <w:t xml:space="preserve"> </w:t>
      </w:r>
      <w:r>
        <w:rPr>
          <w:rFonts w:ascii="Times New Roman;sans-serif" w:hAnsi="Times New Roman;sans-serif"/>
          <w:b w:val="false"/>
          <w:color w:val="000000"/>
          <w:sz w:val="22"/>
        </w:rPr>
        <w:t>shall apply.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    If any assignment or participation is made to any Disqualified Institution without the Borrower’s prior consent in violation of </w:t>
      </w:r>
      <w:r>
        <w:rPr>
          <w:rFonts w:ascii="Times New Roman;sans-serif" w:hAnsi="Times New Roman;sans-serif"/>
          <w:b w:val="false"/>
          <w:color w:val="000000"/>
          <w:sz w:val="22"/>
          <w:u w:val="single"/>
        </w:rPr>
        <w:t>Section 11.06(g)(i)</w:t>
      </w:r>
      <w:r>
        <w:rPr>
          <w:rFonts w:ascii="Times New Roman;sans-serif" w:hAnsi="Times New Roman;sans-serif"/>
          <w:b w:val="false"/>
          <w:color w:val="000000"/>
          <w:sz w:val="22"/>
        </w:rPr>
        <w:t xml:space="preserv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Incremental Term Loans held by Disqualified Institutions, prepay such Incremental Term Loans by paying the lesser of (1) the principal amount thereof and (2) the amount that such Disqualified Institution paid to acquire such Incremental Term Loans,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sans-serif" w:hAnsi="Times New Roman;sans-serif"/>
          <w:b w:val="false"/>
          <w:color w:val="000000"/>
          <w:sz w:val="22"/>
          <w:u w:val="single"/>
        </w:rPr>
        <w:t>Section 11.06</w:t>
      </w:r>
      <w:r>
        <w:rPr>
          <w:rFonts w:ascii="Times New Roman;sans-serif" w:hAnsi="Times New Roman;sans-serif"/>
          <w:b w:val="false"/>
          <w:color w:val="000000"/>
          <w:sz w:val="22"/>
        </w:rPr>
        <w:t xml:space="preserve">), all of its interest, rights and obligations under this Agreement and related Loan Documents to an Eligible Assignee that shall assume such obligations at the lesser of (1) the principal amount thereof, and (2) the amount that such Disqualified Institution paid to acquire such interests, rights and obligations, in each case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accrued interest, accrued fees and all other amounts (other than principal amounts) payable to it hereunder and other the other Loan Documents;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(x) such assignment does not conflict with applicable laws, and (y) in the case of </w:t>
      </w:r>
      <w:r>
        <w:rPr>
          <w:rFonts w:ascii="Times New Roman;sans-serif" w:hAnsi="Times New Roman;sans-serif"/>
          <w:b w:val="false"/>
          <w:color w:val="000000"/>
          <w:sz w:val="22"/>
          <w:u w:val="single"/>
        </w:rPr>
        <w:t>clause (B)</w:t>
      </w:r>
      <w:r>
        <w:rPr>
          <w:color w:val="000000"/>
        </w:rPr>
        <w:t xml:space="preserve"> </w:t>
      </w:r>
      <w:r>
        <w:rPr>
          <w:rFonts w:ascii="Times New Roman;sans-serif" w:hAnsi="Times New Roman;sans-serif"/>
          <w:b w:val="false"/>
          <w:color w:val="000000"/>
          <w:sz w:val="22"/>
        </w:rPr>
        <w:t>above, the Borrower shall not use the proceeds from any Loans to prepay Incremental Term Loans held by Disqualified Institutions.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    Notwithstanding anything to the contrary contained in this Agreement, Disqualified Institutions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w:t>
      </w:r>
      <w:r>
        <w:rPr>
          <w:rFonts w:ascii="Times New Roman;sans-serif" w:hAnsi="Times New Roman;sans-serif"/>
          <w:b w:val="false"/>
          <w:color w:val="000000"/>
          <w:sz w:val="22"/>
          <w:u w:val="single"/>
        </w:rPr>
        <w:t>Plan of Reorganization</w:t>
      </w:r>
      <w:r>
        <w:rPr>
          <w:color w:val="000000"/>
        </w:rPr>
        <w:t>”</w:t>
      </w:r>
      <w:r>
        <w:rPr>
          <w:rFonts w:ascii="Times New Roman;sans-serif" w:hAnsi="Times New Roman;sans-serif"/>
          <w:b w:val="false"/>
          <w:color w:val="000000"/>
          <w:sz w:val="22"/>
        </w:rPr>
        <w:t xml:space="preserve">), each Disqualified Institution party hereto hereby agrees (1) not to vote on such Plan of Reorganization, (2) if such Disqualified Institution does vote on such Plan of Reorganization notwithstanding the restriction in the foregoing </w:t>
      </w:r>
      <w:r>
        <w:rPr>
          <w:rFonts w:ascii="Times New Roman;sans-serif" w:hAnsi="Times New Roman;sans-serif"/>
          <w:b w:val="false"/>
          <w:color w:val="000000"/>
          <w:sz w:val="22"/>
          <w:u w:val="single"/>
        </w:rPr>
        <w:t>clause (1)</w:t>
      </w:r>
      <w:r>
        <w:rPr>
          <w:rFonts w:ascii="Times New Roman;sans-serif" w:hAnsi="Times New Roman;sans-serif"/>
          <w:b w:val="false"/>
          <w:color w:val="000000"/>
          <w:sz w:val="22"/>
        </w:rPr>
        <w:t xml:space="preserve">, such vote will be deemed not to be in good faith and shall be “designated” pursuant to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sans-serif" w:hAnsi="Times New Roman;sans-serif"/>
          <w:b w:val="false"/>
          <w:color w:val="000000"/>
          <w:sz w:val="22"/>
          <w:u w:val="single"/>
        </w:rPr>
        <w:t>clause (2)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    The Administrative Agent shall have the right, and the Borrower hereby expressly authorizes the Administrative Agent, to (A) post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 xml:space="preserve">and any updates thereto from time to time on the Platform, including that portion of the Platform that is designated for “public side” Lenders, or (B) provide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and any updates thereto from time to time to each Lender requesting the same.</w:t>
      </w:r>
    </w:p>
    <w:p>
      <w:pPr>
        <w:pStyle w:val="TextBody"/>
        <w:bidi w:val="0"/>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u w:val="single"/>
        </w:rPr>
        <w:t>Treatment of Certain Information; Confidentiality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Each of the Administrative Agent, the Lenders and the L/C Issuer agrees to maintain the confidentiality of the Information (as defined below), except that Information may be disclosed (a) to its Affiliates and to its and its Affiliates’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Administrative Agent, the Lenders and the L/C Issuer will, to the extent permitted by law, rule or regulation and reasonably practicable, promptly inform the Borrower),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Times New Roman;sans-serif" w:hAnsi="Times New Roman;sans-serif"/>
          <w:b w:val="false"/>
          <w:color w:val="000000"/>
          <w:sz w:val="22"/>
          <w:u w:val="single"/>
        </w:rPr>
        <w:t>Section 2.01(b)</w:t>
      </w:r>
      <w:r>
        <w:rPr>
          <w:color w:val="000000"/>
        </w:rPr>
        <w:t xml:space="preserve"> </w:t>
      </w:r>
      <w:r>
        <w:rPr>
          <w:rFonts w:ascii="Times New Roman;sans-serif" w:hAnsi="Times New Roman;sans-serif"/>
          <w:b w:val="false"/>
          <w:color w:val="000000"/>
          <w:sz w:val="22"/>
        </w:rPr>
        <w:t xml:space="preserve">or (ii) any actual or prospective party (or its Related Parties) to any swap, derivative or other transaction under which payments are to be made by reference to the Borrower and its obligations, this Agreement or payments hereunder (it being understood that </w:t>
      </w:r>
      <w:r>
        <w:rPr>
          <w:rFonts w:ascii="Times New Roman;sans-serif" w:hAnsi="Times New Roman;sans-serif"/>
          <w:b w:val="false"/>
          <w:color w:val="000000"/>
          <w:sz w:val="22"/>
          <w:u w:val="single"/>
        </w:rPr>
        <w:t>Schedule 1.01(b)</w:t>
      </w:r>
      <w:r>
        <w:rPr>
          <w:color w:val="000000"/>
        </w:rPr>
        <w:t xml:space="preserve"> </w:t>
      </w:r>
      <w:r>
        <w:rPr>
          <w:rFonts w:ascii="Times New Roman;sans-serif" w:hAnsi="Times New Roman;sans-serif"/>
          <w:b w:val="false"/>
          <w:color w:val="000000"/>
          <w:sz w:val="22"/>
        </w:rPr>
        <w:t xml:space="preserve">(as updated from time to time) may be disclosed to any assignee or Participant or prospective assignee or Participant in reliance on this </w:t>
      </w:r>
      <w:r>
        <w:rPr>
          <w:rFonts w:ascii="Times New Roman;sans-serif" w:hAnsi="Times New Roman;sans-serif"/>
          <w:b w:val="false"/>
          <w:color w:val="000000"/>
          <w:sz w:val="22"/>
          <w:u w:val="single"/>
        </w:rPr>
        <w:t>clause (f)</w:t>
      </w:r>
      <w:r>
        <w:rPr>
          <w:rFonts w:ascii="Times New Roman;sans-serif" w:hAnsi="Times New Roman;sans-serif"/>
          <w:b w:val="false"/>
          <w:color w:val="000000"/>
          <w:sz w:val="22"/>
        </w:rPr>
        <w:t>), (g) on a confidential basis to (i) any rating agency in connection with rating any Loan Party or its Subsidiaries or the credit facilities provided hereunder or (ii) the CUSIP Service Bureau or any similar agency in connection with the application, issuance, publishing and monitoring of CUSIP numbers or other market identifiers with respect to the credit facilities provided hereunder, (h) with the consent of the Borrower or (i) to the extent such Information (x) becomes publicly available other than as a result of a breach of this Section, (y) becomes available to the Administrative Agent, any Lender, the L/C Issuer or any of their respective Affiliates on a nonconfidential basis from a source other than the Borrower other than as a result of a breach of a confidentiality obligation of which the Administrative Agent or the applicable Lender or the L/C Issuer has actual knowledge or (z) is independently discovered or developed by a party hereto without utilizing any Information received from the Borrower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For purposes of this Section, “</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in the case of information received from a Loan Party or any Subsidiary after the date hereof, such information is clearly identified at the time of delivery as confidential. Any Person required to maintain the confidentiality of Information as provided in this Section shall be considered to have complied with its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obligation to do so if such Person has exercised the same degree of care to maintain the confidentiality of such Information as such Person would accord to its own confidential information.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Administrative Agent, the Lenders and the L/C Issuer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lineRule="auto" w:line="240" w:before="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u w:val="single"/>
        </w:rPr>
        <w:t>Set-off</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If an Event of Default shall have occurred and be continuing, each Lender, the L/C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in the event that any Defaulting Lender shall exercise any such right of setoff, (x) all amounts so set off shall be paid over immediately to the Administrative Agent for further application in accordance with the provisions of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the failure to give such notice shall not affect the validity of such setoff and application.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1.09</w:t>
      </w:r>
      <w:r>
        <w:rPr>
          <w:rFonts w:ascii="Times New Roman;sans-serif" w:hAnsi="Times New Roman;sans-serif"/>
          <w:b/>
          <w:color w:val="000000"/>
          <w:sz w:val="22"/>
          <w:u w:val="single"/>
        </w:rPr>
        <w:t>Interest Rate Limitation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Notwithstanding anything to the contrary contained in any Loan Document, the interest paid or agreed to be paid under the Loan Documents shall not exceed the maximum rate of non-usurious interest permitted by applicable Law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1.j</w:t>
      </w:r>
      <w:r>
        <w:rPr>
          <w:rFonts w:ascii="Times New Roman;sans-serif" w:hAnsi="Times New Roman;sans-serif"/>
          <w:b/>
          <w:color w:val="000000"/>
          <w:sz w:val="22"/>
          <w:u w:val="single"/>
        </w:rPr>
        <w:t>Integration; Effectiveness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2"/>
          <w:u w:val="single"/>
        </w:rPr>
        <w:t>Section 5.01</w:t>
      </w:r>
      <w:r>
        <w:rPr>
          <w:rFonts w:ascii="Times New Roman;sans-serif" w:hAnsi="Times New Roman;sans-serif"/>
          <w:b w:val="false"/>
          <w:color w:val="000000"/>
          <w:sz w:val="22"/>
        </w:rPr>
        <w:t xml:space="preserve">, this Agreement shall become effective when it shall have been executed by the Administrative Agent and when the Administrative Agent shall have received counterparts hereof that, when taken together, bear the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signatures of each of the other parties hereto, and thereafter shall be binding upon and inure to the benefit of the parties hereto and their respective successors and permitted assigns.</w:t>
      </w:r>
    </w:p>
    <w:p>
      <w:pPr>
        <w:pStyle w:val="TextBody"/>
        <w:bidi w:val="0"/>
        <w:spacing w:lineRule="auto" w:line="240" w:before="0" w:after="240"/>
        <w:ind w:left="0" w:right="0" w:firstLine="720"/>
        <w:jc w:val="both"/>
        <w:rPr/>
      </w:pPr>
      <w:r>
        <w:rPr>
          <w:rFonts w:ascii="Times New Roman;sans-serif" w:hAnsi="Times New Roman;sans-serif"/>
          <w:b/>
          <w:color w:val="000000"/>
          <w:sz w:val="22"/>
        </w:rPr>
        <w:t>1.k</w:t>
      </w:r>
      <w:r>
        <w:rPr>
          <w:rFonts w:ascii="Times New Roman;sans-serif" w:hAnsi="Times New Roman;sans-serif"/>
          <w:b/>
          <w:color w:val="000000"/>
          <w:sz w:val="22"/>
          <w:u w:val="single"/>
        </w:rPr>
        <w:t>Survival of Representations and Warranties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lineRule="auto" w:line="240" w:before="0" w:after="240"/>
        <w:ind w:left="0" w:right="0" w:firstLine="720"/>
        <w:jc w:val="both"/>
        <w:rPr/>
      </w:pPr>
      <w:r>
        <w:rPr>
          <w:rFonts w:ascii="Times New Roman;sans-serif" w:hAnsi="Times New Roman;sans-serif"/>
          <w:b/>
          <w:color w:val="000000"/>
          <w:sz w:val="22"/>
        </w:rPr>
        <w:t>1.l</w:t>
      </w:r>
      <w:r>
        <w:rPr>
          <w:rFonts w:ascii="Times New Roman;sans-serif" w:hAnsi="Times New Roman;sans-serif"/>
          <w:b/>
          <w:color w:val="000000"/>
          <w:sz w:val="22"/>
          <w:u w:val="single"/>
        </w:rPr>
        <w:t>Severability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ans-serif" w:hAnsi="Times New Roman;sans-serif"/>
          <w:b w:val="false"/>
          <w:color w:val="000000"/>
          <w:sz w:val="22"/>
          <w:u w:val="single"/>
        </w:rPr>
        <w:t>Section 11.12</w:t>
      </w:r>
      <w:r>
        <w:rPr>
          <w:rFonts w:ascii="Times New Roman;sans-serif" w:hAnsi="Times New Roman;sans-serif"/>
          <w:b w:val="false"/>
          <w:color w:val="000000"/>
          <w:sz w:val="22"/>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pStyle w:val="TextBody"/>
        <w:bidi w:val="0"/>
        <w:spacing w:lineRule="auto" w:line="240" w:before="0" w:after="240"/>
        <w:ind w:left="0" w:right="0" w:firstLine="720"/>
        <w:jc w:val="both"/>
        <w:rPr/>
      </w:pPr>
      <w:r>
        <w:rPr>
          <w:rFonts w:ascii="Times New Roman;sans-serif" w:hAnsi="Times New Roman;sans-serif"/>
          <w:b/>
          <w:color w:val="000000"/>
          <w:sz w:val="22"/>
        </w:rPr>
        <w:t>1.m</w:t>
      </w:r>
      <w:r>
        <w:rPr>
          <w:rFonts w:ascii="Times New Roman;sans-serif" w:hAnsi="Times New Roman;sans-serif"/>
          <w:b/>
          <w:color w:val="000000"/>
          <w:sz w:val="22"/>
          <w:u w:val="single"/>
        </w:rPr>
        <w:t>Replacement of Lenders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If the Borrower is entitled to replace a Lender pursuant to the provisions of </w:t>
      </w:r>
      <w:r>
        <w:rPr>
          <w:rFonts w:ascii="Times New Roman;sans-serif" w:hAnsi="Times New Roman;sans-serif"/>
          <w:b w:val="false"/>
          <w:color w:val="000000"/>
          <w:sz w:val="22"/>
          <w:u w:val="single"/>
        </w:rPr>
        <w:t>Section 3.06</w:t>
      </w:r>
      <w:r>
        <w:rPr>
          <w:rFonts w:ascii="Times New Roman;sans-serif" w:hAnsi="Times New Roman;sans-serif"/>
          <w:b w:val="false"/>
          <w:color w:val="000000"/>
          <w:sz w:val="22"/>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ans-serif" w:hAnsi="Times New Roman;sans-serif"/>
          <w:b w:val="false"/>
          <w:color w:val="000000"/>
          <w:sz w:val="22"/>
          <w:u w:val="single"/>
        </w:rPr>
        <w:t>Section 11.06</w:t>
      </w:r>
      <w:r>
        <w:rPr>
          <w:rFonts w:ascii="Times New Roman;sans-serif" w:hAnsi="Times New Roman;sans-serif"/>
          <w:b w:val="false"/>
          <w:color w:val="000000"/>
          <w:sz w:val="22"/>
        </w:rPr>
        <w:t xml:space="preserve">), all of its interests, rights (other than its existing rights to payments pursuant to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 xml:space="preserve">(i)the Borrower shall have paid to the Administrative Agent the assignment fee specified in </w:t>
      </w:r>
      <w:r>
        <w:rPr>
          <w:rFonts w:ascii="Times New Roman;sans-serif" w:hAnsi="Times New Roman;sans-serif"/>
          <w:b w:val="false"/>
          <w:color w:val="000000"/>
          <w:sz w:val="22"/>
          <w:u w:val="single"/>
        </w:rPr>
        <w:t>Section 11.06(b)</w:t>
      </w:r>
      <w:r>
        <w:rPr>
          <w:rFonts w:ascii="Times New Roman;sans-serif" w:hAnsi="Times New Roman;sans-serif"/>
          <w:b w:val="false"/>
          <w:color w:val="000000"/>
          <w:sz w:val="22"/>
        </w:rPr>
        <w:t>;</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 xml:space="preserve">(ii)such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from the assignee (to the extent of such outstanding principal and accrued interest and fees) or the Borrower (in the case of all other amounts);</w: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 xml:space="preserve">(iii)in the case of any such assignment resulting from a claim for compensation under </w:t>
      </w:r>
      <w:r>
        <w:rPr>
          <w:rFonts w:ascii="Times New Roman;sans-serif" w:hAnsi="Times New Roman;sans-serif"/>
          <w:b w:val="false"/>
          <w:color w:val="000000"/>
          <w:sz w:val="22"/>
          <w:u w:val="single"/>
        </w:rPr>
        <w:t>Section 3.04</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such assignment will result in a reduction in such compensation or payments thereafter;</w:t>
      </w:r>
    </w:p>
    <w:p>
      <w:pPr>
        <w:pStyle w:val="TextBody"/>
        <w:bidi w:val="0"/>
        <w:spacing w:lineRule="auto" w:line="240" w:before="0" w:after="240"/>
        <w:ind w:left="0" w:right="0" w:firstLine="403"/>
        <w:jc w:val="both"/>
        <w:rPr>
          <w:rFonts w:ascii="Times New Roman;sans-serif" w:hAnsi="Times New Roman;sans-serif"/>
          <w:b w:val="false"/>
          <w:color w:val="000000"/>
          <w:sz w:val="22"/>
        </w:rPr>
      </w:pPr>
      <w:r>
        <w:rPr>
          <w:rFonts w:ascii="Times New Roman;sans-serif" w:hAnsi="Times New Roman;sans-serif"/>
          <w:b w:val="false"/>
          <w:color w:val="000000"/>
          <w:sz w:val="22"/>
        </w:rPr>
        <w:t>(iv)such assignment does not conflict with applicable Laws; and</w:t>
      </w:r>
    </w:p>
    <w:p>
      <w:pPr>
        <w:pStyle w:val="TextBody"/>
        <w:bidi w:val="0"/>
        <w:spacing w:lineRule="auto" w:line="240" w:before="0" w:after="240"/>
        <w:ind w:left="0" w:right="0" w:firstLine="464"/>
        <w:jc w:val="both"/>
        <w:rPr>
          <w:rFonts w:ascii="Times New Roman;sans-serif" w:hAnsi="Times New Roman;sans-serif"/>
          <w:b w:val="false"/>
          <w:color w:val="000000"/>
          <w:sz w:val="22"/>
        </w:rPr>
      </w:pPr>
      <w:r>
        <w:rPr>
          <w:rFonts w:ascii="Times New Roman;sans-serif" w:hAnsi="Times New Roman;sans-serif"/>
          <w:b w:val="false"/>
          <w:color w:val="000000"/>
          <w:sz w:val="22"/>
        </w:rPr>
        <w:t>(v)in the case of an assignment resulting from a Lender becoming a Non-Consenting Lender, the applicable assignee shall have consented to the applicable amendment, waiver or consent;</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the failure by such Lender to execute and deliver an Assignment and Assumption shall not impair the validity of the removal of such Lender and the mandatory assignment of such Lender’s Commitments and outstanding Loans and participations in L/C Obligations and Swing Line Loans pursuant to this </w:t>
      </w:r>
      <w:r>
        <w:rPr>
          <w:rFonts w:ascii="Times New Roman;sans-serif" w:hAnsi="Times New Roman;sans-serif"/>
          <w:b w:val="false"/>
          <w:color w:val="000000"/>
          <w:sz w:val="22"/>
          <w:u w:val="single"/>
        </w:rPr>
        <w:t>Section 11.13</w:t>
      </w:r>
      <w:r>
        <w:rPr>
          <w:color w:val="000000"/>
        </w:rPr>
        <w:t xml:space="preserve"> </w:t>
      </w:r>
      <w:r>
        <w:rPr>
          <w:rFonts w:ascii="Times New Roman;sans-serif" w:hAnsi="Times New Roman;sans-serif"/>
          <w:b w:val="false"/>
          <w:color w:val="000000"/>
          <w:sz w:val="22"/>
        </w:rPr>
        <w:t>shall nevertheless be effective without the execution by such Lender of an Assignment and Assumption.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Notwithstanding anything in this </w:t>
      </w:r>
      <w:r>
        <w:rPr>
          <w:rFonts w:ascii="Times New Roman;sans-serif" w:hAnsi="Times New Roman;sans-serif"/>
          <w:b w:val="false"/>
          <w:color w:val="000000"/>
          <w:sz w:val="22"/>
          <w:u w:val="single"/>
        </w:rPr>
        <w:t>Section 11.13</w:t>
      </w:r>
      <w:r>
        <w:rPr>
          <w:color w:val="000000"/>
        </w:rPr>
        <w:t xml:space="preserve"> </w:t>
      </w:r>
      <w:r>
        <w:rPr>
          <w:rFonts w:ascii="Times New Roman;sans-serif" w:hAnsi="Times New Roman;sans-serif"/>
          <w:b w:val="false"/>
          <w:color w:val="000000"/>
          <w:sz w:val="22"/>
        </w:rPr>
        <w:t xml:space="preserve">to the contrary, (i) the Lender that acts as the L/C Issuer may not be replaced hereunder at any time it has any Letter of Credit outstanding hereunder unless arrangements reasonably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(ii) the Lender that acts as the Administrative Agent may not be replaced hereunder except in accordance with the terms of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1.n</w:t>
      </w:r>
      <w:r>
        <w:rPr>
          <w:rFonts w:ascii="Times New Roman;sans-serif" w:hAnsi="Times New Roman;sans-serif"/>
          <w:b/>
          <w:color w:val="000000"/>
          <w:sz w:val="22"/>
          <w:u w:val="single"/>
        </w:rPr>
        <w:t>Governing Law; Jurisdiction; Etc</w:t>
      </w:r>
      <w:r>
        <w:rPr>
          <w:rFonts w:ascii="Times New Roman;sans-serif" w:hAnsi="Times New Roman;sans-serif"/>
          <w:b w:val="false"/>
          <w:color w:val="000000"/>
          <w:sz w:val="22"/>
        </w:rPr>
        <w:t>.</w:t>
      </w:r>
    </w:p>
    <w:p>
      <w:pPr>
        <w:pStyle w:val="TextBody"/>
        <w:bidi w:val="0"/>
        <w:spacing w:lineRule="auto" w:line="240" w:before="0" w:after="240"/>
        <w:ind w:left="0" w:right="0" w:firstLine="513"/>
        <w:jc w:val="both"/>
        <w:rPr/>
      </w:pPr>
      <w:r>
        <w:rPr>
          <w:rFonts w:ascii="Times New Roman;sans-serif" w:hAnsi="Times New Roman;sans-serif"/>
          <w:b w:val="false"/>
          <w:color w:val="000000"/>
          <w:sz w:val="22"/>
        </w:rPr>
        <w:t>(i)</w:t>
      </w:r>
      <w:r>
        <w:rPr>
          <w:rFonts w:ascii="Times New Roman;sans-serif" w:hAnsi="Times New Roman;sans-serif"/>
          <w:b/>
          <w:color w:val="000000"/>
          <w:sz w:val="22"/>
          <w:u w:val="single"/>
        </w:rPr>
        <w:t>GOVERNING LAW</w:t>
      </w:r>
      <w:r>
        <w:rPr>
          <w:rFonts w:ascii="Times New Roman;sans-serif" w:hAnsi="Times New Roman;sans-serif"/>
          <w:b/>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lineRule="auto" w:line="240" w:before="0" w:after="240"/>
        <w:ind w:left="0" w:right="0" w:firstLine="452"/>
        <w:jc w:val="both"/>
        <w:rPr/>
      </w:pPr>
      <w:r>
        <w:rPr>
          <w:rFonts w:ascii="Times New Roman;sans-serif" w:hAnsi="Times New Roman;sans-serif"/>
          <w:b w:val="false"/>
          <w:color w:val="000000"/>
          <w:sz w:val="22"/>
        </w:rPr>
        <w:t>(ii)</w:t>
      </w:r>
      <w:r>
        <w:rPr>
          <w:rFonts w:ascii="Times New Roman;sans-serif" w:hAnsi="Times New Roman;sans-serif"/>
          <w:b/>
          <w:color w:val="000000"/>
          <w:sz w:val="22"/>
          <w:u w:val="single"/>
        </w:rPr>
        <w:t>SUBMISSION TO JURISDICTION</w:t>
      </w:r>
      <w:r>
        <w:rPr>
          <w:rFonts w:ascii="Times New Roman;sans-serif" w:hAnsi="Times New Roman;sans-serif"/>
          <w:b/>
          <w:color w:val="000000"/>
          <w:sz w:val="22"/>
        </w:rPr>
        <w:t>. THE BORROWER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LOAN PARTY OR ITS PROPERTIES IN THE COURTS OF ANY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391"/>
        <w:jc w:val="both"/>
        <w:rPr/>
      </w:pPr>
      <w:r>
        <w:rPr>
          <w:rFonts w:ascii="Times New Roman;sans-serif" w:hAnsi="Times New Roman;sans-serif"/>
          <w:b w:val="false"/>
          <w:color w:val="000000"/>
          <w:sz w:val="22"/>
        </w:rPr>
        <w:t>(iii)</w:t>
      </w:r>
      <w:r>
        <w:rPr>
          <w:rFonts w:ascii="Times New Roman;sans-serif" w:hAnsi="Times New Roman;sans-serif"/>
          <w:b/>
          <w:color w:val="000000"/>
          <w:sz w:val="22"/>
          <w:u w:val="single"/>
        </w:rPr>
        <w:t>WAIVER OF VENUE</w:t>
      </w:r>
      <w:r>
        <w:rPr>
          <w:rFonts w:ascii="Times New Roman;sans-serif" w:hAnsi="Times New Roman;sans-serif"/>
          <w:b/>
          <w:color w:val="000000"/>
          <w:sz w:val="22"/>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403"/>
        <w:jc w:val="both"/>
        <w:rPr/>
      </w:pPr>
      <w:r>
        <w:rPr>
          <w:rFonts w:ascii="Times New Roman;sans-serif" w:hAnsi="Times New Roman;sans-serif"/>
          <w:b w:val="false"/>
          <w:color w:val="000000"/>
          <w:sz w:val="22"/>
        </w:rPr>
        <w:t>(iv)</w:t>
      </w:r>
      <w:r>
        <w:rPr>
          <w:rFonts w:ascii="Times New Roman;sans-serif" w:hAnsi="Times New Roman;sans-serif"/>
          <w:b/>
          <w:color w:val="000000"/>
          <w:sz w:val="22"/>
          <w:u w:val="single"/>
        </w:rPr>
        <w:t>SERVICE OF PROCESS</w:t>
      </w:r>
      <w:r>
        <w:rPr>
          <w:rFonts w:ascii="Times New Roman;sans-serif" w:hAnsi="Times New Roman;sans-serif"/>
          <w:b/>
          <w:color w:val="000000"/>
          <w:sz w:val="22"/>
        </w:rPr>
        <w:t xml:space="preserve">. EACH PARTY HERETO IRREVOCABLY CONSENTS TO SERVICE OF PROCESS IN THE MANNER PROVIDED FOR NOTICES IN </w:t>
      </w:r>
      <w:r>
        <w:rPr>
          <w:rFonts w:ascii="Times New Roman;sans-serif" w:hAnsi="Times New Roman;sans-serif"/>
          <w:b/>
          <w:color w:val="000000"/>
          <w:sz w:val="22"/>
          <w:u w:val="single"/>
        </w:rPr>
        <w:t>SECTION 11.02</w:t>
      </w:r>
      <w:r>
        <w:rPr>
          <w:rFonts w:ascii="Times New Roman;sans-serif" w:hAnsi="Times New Roman;sans-serif"/>
          <w:b/>
          <w:color w:val="000000"/>
          <w:sz w:val="22"/>
        </w:rPr>
        <w:t>. NOTHING IN THIS AGREEMENT WILL AFFECT THE RIGHT OF ANY PARTY HERETO TO SERVE PROCESS IN ANY OTHER MANNER PERMITTED BY APPLICABLE LAW.</w:t>
      </w:r>
    </w:p>
    <w:p>
      <w:pPr>
        <w:pStyle w:val="TextBody"/>
        <w:bidi w:val="0"/>
        <w:spacing w:lineRule="auto" w:line="240" w:before="0" w:after="240"/>
        <w:ind w:left="0" w:right="0" w:firstLine="720"/>
        <w:jc w:val="both"/>
        <w:rPr/>
      </w:pPr>
      <w:r>
        <w:rPr>
          <w:rFonts w:ascii="Times New Roman;sans-serif" w:hAnsi="Times New Roman;sans-serif"/>
          <w:b/>
          <w:color w:val="000000"/>
          <w:sz w:val="22"/>
        </w:rPr>
        <w:t>1.o</w:t>
      </w:r>
      <w:r>
        <w:rPr>
          <w:rFonts w:ascii="Times New Roman;sans-serif" w:hAnsi="Times New Roman;sans-serif"/>
          <w:b/>
          <w:color w:val="000000"/>
          <w:sz w:val="22"/>
          <w:u w:val="single"/>
        </w:rPr>
        <w:t>Waiver of Right to Trial by Jury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1.p</w:t>
      </w:r>
      <w:r>
        <w:rPr>
          <w:rFonts w:ascii="Times New Roman;sans-serif" w:hAnsi="Times New Roman;sans-serif"/>
          <w:b/>
          <w:color w:val="000000"/>
          <w:sz w:val="22"/>
          <w:u w:val="single"/>
        </w:rPr>
        <w:t>No Advisory or Fiduciary Responsibility</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all aspects of each transaction contemplated hereby (including in connection with any amendment, waiver or other modification hereof or of any other Loan Document), the Borrower acknowledges and agrees, and acknowledges its Affiliates’ understanding, that: (a)(i) the arranging and other services regarding this Agreement provided by the Administrative Agent, the Lead Arrangers and the Lenders are arm’s-length commercial transactions between the Borrower and its Affiliates, on the one hand, and the Administrative Agent, the Lead Arrangers and the Lenders, on the other hand, (ii) the Borrower has consulted its own legal, accounting, regulatory and tax advisors to the extent it has deemed appropriate, and (iii) the Borrower is capable of evaluating, and understands and accepts, the terms, risks and conditions of the transactions contemplated hereby and by the other Loan Documents; (b)(i) the Administrative Agent, each Lead Arranger and each Lender is and has been acting solely as a principal and, except as expressly agreed in writing by the relevant parties, has not been, is not, and will not be acting as an advisor, agent or fiduciary for the Borrower or any of its Affiliates, or any other Person and (ii) none of the Administrative Agent, any Lead Arranger or any Lender has any obligation to the Borrower or any of its Affiliates with respect to the transactions contemplated hereby except those obligations expressly set forth herein and in the other Loan Documents; and (c) the Administrative Agent, the Lead Arrangers, the Lenders and their respective Affiliates may be engaged in a broad range of transactions that involve interests that differ from those of the Borrower and its Affiliates, and neither the Administrative Agent, any Lead Arranger nor any Lender has any obligation to disclose any of such interests to the Borrower and its Affiliates. To the fullest extent permitted by Law, the Borrower hereby waives and releases any claims that it may have against the Administrative Agent, the Lead Arrangers or any Lender with respect to any breach or alleged breach of agency or fiduciary duty in connection with any aspect of any transaction contemplated hereby.</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1.q</w:t>
      </w:r>
      <w:r>
        <w:rPr>
          <w:rFonts w:ascii="Times New Roman;sans-serif" w:hAnsi="Times New Roman;sans-serif"/>
          <w:b/>
          <w:color w:val="000000"/>
          <w:sz w:val="22"/>
          <w:u w:val="single"/>
        </w:rPr>
        <w:t>Electronic Execution; Electronic Records; Counterparts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This Agreement, any other Loan Document and any other Communication, including Communications required to be in writing, may be in the form of an Electronic Record and may be executed using Electronic Signatures. The Borrower and each of the Administrative Agent, the L/C Issuer, the Swing Line Lender, and each Lender (collectively, each a “</w:t>
      </w:r>
      <w:r>
        <w:rPr>
          <w:rFonts w:ascii="Times New Roman;sans-serif" w:hAnsi="Times New Roman;sans-serif"/>
          <w:b w:val="false"/>
          <w:color w:val="000000"/>
          <w:sz w:val="22"/>
          <w:u w:val="single"/>
        </w:rPr>
        <w:t>Credit Party</w:t>
      </w:r>
      <w:r>
        <w:rPr>
          <w:color w:val="000000"/>
        </w:rPr>
        <w:t>”</w:t>
      </w:r>
      <w:r>
        <w:rPr>
          <w:rFonts w:ascii="Times New Roman;sans-serif" w:hAnsi="Times New Roman;sans-serif"/>
          <w:b w:val="false"/>
          <w:color w:val="000000"/>
          <w:sz w:val="22"/>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(each, an “</w:t>
      </w:r>
      <w:r>
        <w:rPr>
          <w:rFonts w:ascii="Times New Roman;sans-serif" w:hAnsi="Times New Roman;sans-serif"/>
          <w:b w:val="false"/>
          <w:color w:val="000000"/>
          <w:sz w:val="22"/>
          <w:u w:val="single"/>
        </w:rPr>
        <w:t>Electronic Copy</w:t>
      </w:r>
      <w:r>
        <w:rPr>
          <w:color w:val="000000"/>
        </w:rPr>
        <w:t>”</w:t>
      </w:r>
      <w:r>
        <w:rPr>
          <w:rFonts w:ascii="Times New Roman;sans-serif" w:hAnsi="Times New Roman;sans-serif"/>
          <w:b w:val="false"/>
          <w:color w:val="000000"/>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the L/C Issuer or the Swing Line Lender is under any obligation to accept an Electronic Signature in any form or in any format unless expressly agreed to by such Person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without limiting the foregoing, (a) to the extent the Administrative Agent, the L/C Issuer and/or the Swing 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(b) upon the request of the Administrative Agent or any Credit Party, any Communication executed using an Electronic Signature shall be promptly followed by a manually executed counterpart.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None of the Administrative Agent, the L/C Issuer 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the L/C Issuer’s or the Swing Line Lender’s reliance on any Electronic Signature transmitted by telecopy, emailed .pdf or any other electronic means). The Administrative Agent, the L/C Issuer and the Swing 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and each Credit Party hereby waives (i) any argument, defense or right to contest the legal effect, validity or enforceability of this Agreement or any other Loan Document based solely on the lack of paper original copies of this Agreement or such other Loan Document, and (ii)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lineRule="auto" w:line="240" w:before="0" w:after="240"/>
        <w:ind w:left="0" w:right="0" w:firstLine="720"/>
        <w:jc w:val="both"/>
        <w:rPr/>
      </w:pPr>
      <w:r>
        <w:rPr>
          <w:rFonts w:ascii="Times New Roman;sans-serif" w:hAnsi="Times New Roman;sans-serif"/>
          <w:b/>
          <w:color w:val="000000"/>
          <w:sz w:val="22"/>
        </w:rPr>
        <w:t>1.r</w:t>
      </w:r>
      <w:r>
        <w:rPr>
          <w:rFonts w:ascii="Times New Roman;sans-serif" w:hAnsi="Times New Roman;sans-serif"/>
          <w:b/>
          <w:color w:val="000000"/>
          <w:sz w:val="22"/>
          <w:u w:val="single"/>
        </w:rPr>
        <w:t>USA PATRIOT Act Notice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Each Lender that is subject to the PATRIOT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sans-serif" w:hAnsi="Times New Roman;sans-serif"/>
          <w:b w:val="false"/>
          <w:color w:val="000000"/>
          <w:sz w:val="22"/>
          <w:u w:val="single"/>
        </w:rPr>
        <w:t>PATRIOT Act</w:t>
      </w:r>
      <w:r>
        <w:rPr>
          <w:color w:val="000000"/>
        </w:rPr>
        <w:t>”</w:t>
      </w:r>
      <w:r>
        <w:rPr>
          <w:rFonts w:ascii="Times New Roman;sans-serif" w:hAnsi="Times New Roman;sans-serif"/>
          <w:b w:val="false"/>
          <w:color w:val="000000"/>
          <w:sz w:val="22"/>
        </w:rPr>
        <w:t xml:space="preserve">), it is required to obtain, verify and record information that identifies the Loan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Parties,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the Beneficial Ownership Regulation.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1.s</w:t>
      </w:r>
      <w:r>
        <w:rPr>
          <w:rFonts w:ascii="Times New Roman;sans-serif" w:hAnsi="Times New Roman;sans-serif"/>
          <w:b/>
          <w:color w:val="000000"/>
          <w:sz w:val="22"/>
          <w:u w:val="single"/>
        </w:rPr>
        <w:t>Release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agrees: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    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and the expiration or termination of all Letters of Credit (other than Letters of Credit as to which other arrangements satisfactory to the Administrative Agent and the L/C Issuer shall have been made), (ii) that is transferred or to be transferred as part of or in connection with any transfer permitted hereunder or under any other Loan Document or any Involuntary Disposition, or (iii) as approved in accordance with </w:t>
      </w:r>
      <w:r>
        <w:rPr>
          <w:rFonts w:ascii="Times New Roman;sans-serif" w:hAnsi="Times New Roman;sans-serif"/>
          <w:b w:val="false"/>
          <w:color w:val="000000"/>
          <w:sz w:val="22"/>
          <w:u w:val="single"/>
        </w:rPr>
        <w:t>Section 11.01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    to subordinate any Lien on any property granted to or held by the Administrative Agent under any Loan Document to the holder of any Lien on such property that is permitted by </w:t>
      </w:r>
      <w:r>
        <w:rPr>
          <w:rFonts w:ascii="Times New Roman;sans-serif" w:hAnsi="Times New Roman;sans-serif"/>
          <w:b w:val="false"/>
          <w:color w:val="000000"/>
          <w:sz w:val="22"/>
          <w:u w:val="single"/>
        </w:rPr>
        <w:t>Section 8.01(i)</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to release any Guarantor from its obligations under the Guaranty if such Person (i) ceases to be a Subsidiary as a result of a transaction permitted hereunder or (ii) becomes subject to regulation by a Governmental Authority which prohibits such Person from being a Guarantor or which imposes a minimum net capital requirement on such Person that would be materially and adversely affected by continuation of such Guaranty.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If a Guarantor is released pursuant to </w:t>
      </w:r>
      <w:r>
        <w:rPr>
          <w:rFonts w:ascii="Times New Roman;sans-serif" w:hAnsi="Times New Roman;sans-serif"/>
          <w:b w:val="false"/>
          <w:color w:val="000000"/>
          <w:sz w:val="22"/>
          <w:u w:val="single"/>
        </w:rPr>
        <w:t>Section 11.19(c)(ii)</w:t>
      </w:r>
      <w:r>
        <w:rPr>
          <w:rFonts w:ascii="Times New Roman;sans-serif" w:hAnsi="Times New Roman;sans-serif"/>
          <w:b w:val="false"/>
          <w:color w:val="000000"/>
          <w:sz w:val="22"/>
        </w:rPr>
        <w:t>, such Person shall thereafter become an Excluded Subsidiary.</w:t>
      </w:r>
    </w:p>
    <w:p>
      <w:pPr>
        <w:pStyle w:val="TextBody"/>
        <w:bidi w:val="0"/>
        <w:spacing w:lineRule="auto" w:line="240" w:before="0" w:after="240"/>
        <w:ind w:left="0" w:right="0" w:firstLine="720"/>
        <w:jc w:val="both"/>
        <w:rPr/>
      </w:pPr>
      <w:r>
        <w:rPr>
          <w:rFonts w:ascii="Times New Roman;sans-serif" w:hAnsi="Times New Roman;sans-serif"/>
          <w:b/>
          <w:color w:val="000000"/>
          <w:sz w:val="22"/>
        </w:rPr>
        <w:t>1.t</w:t>
      </w:r>
      <w:r>
        <w:rPr>
          <w:rFonts w:ascii="Times New Roman;sans-serif" w:hAnsi="Times New Roman;sans-serif"/>
          <w:b/>
          <w:color w:val="000000"/>
          <w:sz w:val="22"/>
          <w:u w:val="single"/>
        </w:rPr>
        <w:t>Acknowledgement and Consent to Bail-In of Affected Financial Institutions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Lender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ans-serif" w:hAnsi="Times New Roman;sans-serif"/>
          <w:b/>
          <w:color w:val="000000"/>
          <w:sz w:val="22"/>
        </w:rPr>
        <w:t>1.u</w:t>
      </w:r>
      <w:r>
        <w:rPr>
          <w:rFonts w:ascii="Times New Roman;sans-serif" w:hAnsi="Times New Roman;sans-serif"/>
          <w:b/>
          <w:color w:val="000000"/>
          <w:sz w:val="22"/>
          <w:u w:val="single"/>
        </w:rPr>
        <w:t>Amendment and Restatement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parties hereto agree that, on the Closing Date, the following transactions shall be deemed to occur automatically, without further action by any party hereto: (a) the Existing Credit Agreement shall be deemed to be amended and restated in its entirety pursuant to this Agreement; (b) all obligations under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the Existing Credit Agreement outstanding on the Closing Date shall in all respects be continuing and shall be deemed to be Obligations outstanding hereunder; (c) the guarantees made to the lenders, the letter of credit issuers, the administrative agent and each other holder of the obligations under the Existing Credit Agreement, shall remain in full force and effect with respect to the Obligations and are hereby reaffirmed; and (d) the security interests and liens in favor of Bank of America, as administrative agent for the benefit of the holders of the obligations under the Existing Credit Agreement, created under the collateral documents entered into in connection with the Existing Credit Agreement shall remain in full force and effect with respect to the Obligations and are hereby reaffirmed. On the Closing Date, (i) the Borrower shall prepay any revolving loans outstanding under the Existing Credit Agreement to the extent necessary to keep the outstanding Revolving Loans ratable with the revised Revolving Commitments as of the Closing Date, and (ii) the revolving credit extensions and revolving commitments made by the lenders under the Existing Credit Agreement shall be re-allocated and restated among the Lenders so that, as of the Closing Date, the respective Revolving Commitments of the Lenders shall be as set forth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as in effect on the Closing Date. The parties hereto further acknowledge and agree that this Agreement constitutes an amendment to the Existing Credit Agreement made under and in accordance with the terms of Section 11.01 of the Existing Credit Agreement. This Agreement is not a novation of the Existing Credit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1.v</w:t>
      </w:r>
      <w:r>
        <w:rPr>
          <w:rFonts w:ascii="Times New Roman;sans-serif" w:hAnsi="Times New Roman;sans-serif"/>
          <w:b/>
          <w:color w:val="000000"/>
          <w:sz w:val="22"/>
          <w:u w:val="single"/>
        </w:rPr>
        <w:t>Acknowledgement Regarding Any Supported QFCs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To the extent that the Loan Documents provide support, through a guarantee or otherwise, for any Swap Contract or any other agreement or instrument that is a QFC (such support, “</w:t>
      </w:r>
      <w:r>
        <w:rPr>
          <w:rFonts w:ascii="Times New Roman;sans-serif" w:hAnsi="Times New Roman;sans-serif"/>
          <w:b w:val="false"/>
          <w:color w:val="000000"/>
          <w:sz w:val="22"/>
          <w:u w:val="single"/>
        </w:rPr>
        <w:t>QFC Credit Support</w:t>
      </w:r>
      <w:r>
        <w:rPr>
          <w:color w:val="000000"/>
        </w:rPr>
        <w:t>”</w:t>
      </w:r>
      <w:r>
        <w:rPr>
          <w:rFonts w:ascii="Times New Roman;sans-serif" w:hAnsi="Times New Roman;sans-serif"/>
          <w:b w:val="false"/>
          <w:color w:val="000000"/>
          <w:sz w:val="22"/>
        </w:rPr>
        <w:t>, and each such QFC, a “</w:t>
      </w:r>
      <w:r>
        <w:rPr>
          <w:rFonts w:ascii="Times New Roman;sans-serif" w:hAnsi="Times New Roman;sans-serif"/>
          <w:b w:val="false"/>
          <w:color w:val="000000"/>
          <w:sz w:val="22"/>
          <w:u w:val="single"/>
        </w:rPr>
        <w:t>Supported QFC</w:t>
      </w:r>
      <w:r>
        <w:rPr>
          <w:color w:val="000000"/>
        </w:rPr>
        <w:t>”</w:t>
      </w:r>
      <w:r>
        <w:rPr>
          <w:rFonts w:ascii="Times New Roman;sans-serif" w:hAnsi="Times New Roman;sans-serif"/>
          <w:b w:val="false"/>
          <w:color w:val="000000"/>
          <w:sz w:val="22"/>
        </w:rPr>
        <w:t>), the parties acknowledge and agree that,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2"/>
          <w:u w:val="single"/>
        </w:rPr>
        <w:t>U.S. Special Resolution Regimes</w:t>
      </w:r>
      <w:r>
        <w:rPr>
          <w:color w:val="000000"/>
        </w:rPr>
        <w:t>”</w:t>
      </w:r>
      <w:r>
        <w:rPr>
          <w:rFonts w:ascii="Times New Roman;sans-serif" w:hAnsi="Times New Roman;sans-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ans-serif" w:hAnsi="Times New Roman;sans-serif"/>
          <w:b w:val="false"/>
          <w:color w:val="000000"/>
          <w:sz w:val="22"/>
          <w:u w:val="single"/>
        </w:rPr>
        <w:t>Covered Party</w:t>
      </w:r>
      <w:r>
        <w:rPr>
          <w:color w:val="000000"/>
        </w:rPr>
        <w:t>”</w:t>
      </w:r>
      <w:r>
        <w:rPr>
          <w:rFonts w:ascii="Times New Roman;sans-serif" w:hAnsi="Times New Roman;sans-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240"/>
        <w:jc w:val="center"/>
        <w:rPr>
          <w:rFonts w:ascii="Times New Roman;sans-serif" w:hAnsi="Times New Roman;sans-serif"/>
          <w:b/>
          <w:color w:val="000000"/>
          <w:sz w:val="22"/>
        </w:rPr>
      </w:pPr>
      <w:r>
        <w:rPr>
          <w:rFonts w:ascii="Times New Roman;sans-serif" w:hAnsi="Times New Roman;sans-serif"/>
          <w:b/>
          <w:color w:val="000000"/>
          <w:sz w:val="22"/>
        </w:rPr>
        <w:t>[SIGNATURE PAGES OMITTED]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SECTION 302 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Sean M. O’Connor,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StoneX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bidi w:val="0"/>
        <w:spacing w:lineRule="auto" w:line="288" w:before="180" w:after="9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9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1949" w:type="dxa"/>
        <w:jc w:val="center"/>
        <w:tblInd w:w="0" w:type="dxa"/>
        <w:tblLayout w:type="fixed"/>
        <w:tblCellMar>
          <w:top w:w="28" w:type="dxa"/>
          <w:left w:w="28" w:type="dxa"/>
          <w:bottom w:w="28" w:type="dxa"/>
          <w:right w:w="28" w:type="dxa"/>
        </w:tblCellMar>
      </w:tblPr>
      <w:tblGrid>
        <w:gridCol w:w="200"/>
        <w:gridCol w:w="177"/>
        <w:gridCol w:w="178"/>
        <w:gridCol w:w="407"/>
        <w:gridCol w:w="407"/>
        <w:gridCol w:w="5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220" w:type="dxa"/>
        <w:jc w:val="left"/>
        <w:tblInd w:w="0" w:type="dxa"/>
        <w:tblLayout w:type="fixed"/>
        <w:tblCellMar>
          <w:top w:w="28" w:type="dxa"/>
          <w:left w:w="28" w:type="dxa"/>
          <w:bottom w:w="28" w:type="dxa"/>
          <w:right w:w="28" w:type="dxa"/>
        </w:tblCellMar>
      </w:tblPr>
      <w:tblGrid>
        <w:gridCol w:w="711"/>
        <w:gridCol w:w="624"/>
        <w:gridCol w:w="88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M. O’CONNOR</w:t>
            </w:r>
          </w:p>
        </w:tc>
      </w:tr>
      <w:tr>
        <w:trPr/>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 O’Connor</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SECTION 302 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William J. Dunaway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StoneX Group Inc.;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9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bidi w:val="0"/>
        <w:spacing w:lineRule="auto" w:line="288" w:before="90" w:after="283"/>
        <w:ind w:left="0" w:right="0" w:hanging="270"/>
        <w:jc w:val="left"/>
        <w:rPr>
          <w:color w:val="000000"/>
        </w:rPr>
      </w:pPr>
      <w:r>
        <w:rPr>
          <w:color w:val="000000"/>
        </w:rPr>
        <w:t> </w:t>
      </w: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9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949" w:type="dxa"/>
        <w:jc w:val="left"/>
        <w:tblInd w:w="0" w:type="dxa"/>
        <w:tblLayout w:type="fixed"/>
        <w:tblCellMar>
          <w:top w:w="28" w:type="dxa"/>
          <w:left w:w="28" w:type="dxa"/>
          <w:bottom w:w="28" w:type="dxa"/>
          <w:right w:w="28" w:type="dxa"/>
        </w:tblCellMar>
      </w:tblPr>
      <w:tblGrid>
        <w:gridCol w:w="200"/>
        <w:gridCol w:w="177"/>
        <w:gridCol w:w="178"/>
        <w:gridCol w:w="407"/>
        <w:gridCol w:w="407"/>
        <w:gridCol w:w="58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2023</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59" w:type="dxa"/>
        <w:jc w:val="left"/>
        <w:tblInd w:w="0" w:type="dxa"/>
        <w:tblLayout w:type="fixed"/>
        <w:tblCellMar>
          <w:top w:w="28" w:type="dxa"/>
          <w:left w:w="28" w:type="dxa"/>
          <w:bottom w:w="28" w:type="dxa"/>
          <w:right w:w="28" w:type="dxa"/>
        </w:tblCellMar>
      </w:tblPr>
      <w:tblGrid>
        <w:gridCol w:w="787"/>
        <w:gridCol w:w="691"/>
        <w:gridCol w:w="981"/>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DUNAWAY</w:t>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Dunaway</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StoneX Group Inc. (the Company) on Form 10-Q for the period ended June 30, 2023 as filed with the Securities and Exchange Commission on the date hereof (the Report), I, Sean M. O’Connor, Chief Executive Officer of the Company, certify, pursuant to 18 U.S.C. § 1350, as adopted pursuant to § 906 of the Sarbanes-Oxley Act of 2002, that to the best of my knowledge: </w:t>
      </w:r>
    </w:p>
    <w:p>
      <w:pPr>
        <w:pStyle w:val="TextBody"/>
        <w:bidi w:val="0"/>
        <w:spacing w:lineRule="auto" w:line="288" w:before="180" w:after="283"/>
        <w:ind w:left="0" w:right="0" w:hanging="36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 xml:space="preserve">The Report fully complies with the requirements of section 13(a) or 15(d) of the Securities Exchange Act of 1934;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2, 2023 </w:t>
      </w:r>
    </w:p>
    <w:p>
      <w:pPr>
        <w:pStyle w:val="TextBody"/>
        <w:bidi w:val="0"/>
        <w:spacing w:lineRule="auto" w:line="288" w:before="0" w:after="0"/>
        <w:jc w:val="left"/>
        <w:rPr>
          <w:color w:val="000000"/>
        </w:rPr>
      </w:pPr>
      <w:r>
        <w:rPr>
          <w:color w:val="000000"/>
        </w:rPr>
        <w:t> </w:t>
      </w:r>
    </w:p>
    <w:tbl>
      <w:tblPr>
        <w:tblW w:w="2220" w:type="dxa"/>
        <w:jc w:val="left"/>
        <w:tblInd w:w="0" w:type="dxa"/>
        <w:tblLayout w:type="fixed"/>
        <w:tblCellMar>
          <w:top w:w="28" w:type="dxa"/>
          <w:left w:w="28" w:type="dxa"/>
          <w:bottom w:w="28" w:type="dxa"/>
          <w:right w:w="28" w:type="dxa"/>
        </w:tblCellMar>
      </w:tblPr>
      <w:tblGrid>
        <w:gridCol w:w="711"/>
        <w:gridCol w:w="624"/>
        <w:gridCol w:w="885"/>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M. O’CONNOR</w:t>
            </w:r>
          </w:p>
        </w:tc>
      </w:tr>
      <w:tr>
        <w:trPr/>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M. O’Connor</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StoneX Group Inc. (the Company) on Form 10-Q for the period ended June 30, 2023 as filed with the Securities and Exchange Commission on the date hereof (the Report), I, William J. Dunaway, Chief Financial Officer of the Company, certify, pursuant to 18 U.S.C. § 1350, as adopted pursuant to § 906 of the Sarbanes-Oxley Act of 2002, that to the best of my knowledge: </w:t>
      </w:r>
    </w:p>
    <w:p>
      <w:pPr>
        <w:pStyle w:val="TextBody"/>
        <w:bidi w:val="0"/>
        <w:spacing w:lineRule="auto" w:line="288" w:before="180" w:after="283"/>
        <w:ind w:left="0" w:right="0" w:hanging="36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 xml:space="preserve">The Report fully complies with the requirements of section 13(a) or 15(d) of the Securities Exchange Act of 1934;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2, 2023 </w:t>
      </w:r>
    </w:p>
    <w:p>
      <w:pPr>
        <w:pStyle w:val="TextBody"/>
        <w:bidi w:val="0"/>
        <w:spacing w:lineRule="auto" w:line="288" w:before="0" w:after="0"/>
        <w:jc w:val="left"/>
        <w:rPr>
          <w:color w:val="000000"/>
        </w:rPr>
      </w:pPr>
      <w:r>
        <w:rPr>
          <w:color w:val="000000"/>
        </w:rPr>
        <w:t> </w:t>
      </w:r>
    </w:p>
    <w:tbl>
      <w:tblPr>
        <w:tblW w:w="2459" w:type="dxa"/>
        <w:jc w:val="left"/>
        <w:tblInd w:w="0" w:type="dxa"/>
        <w:tblLayout w:type="fixed"/>
        <w:tblCellMar>
          <w:top w:w="28" w:type="dxa"/>
          <w:left w:w="28" w:type="dxa"/>
          <w:bottom w:w="28" w:type="dxa"/>
          <w:right w:w="28" w:type="dxa"/>
        </w:tblCellMar>
      </w:tblPr>
      <w:tblGrid>
        <w:gridCol w:w="787"/>
        <w:gridCol w:w="691"/>
        <w:gridCol w:w="981"/>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DUNAWAY</w:t>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Dunaway</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166</Pages>
  <Words>126019</Words>
  <Characters>679447</Characters>
  <CharactersWithSpaces>802178</CharactersWithSpaces>
  <Paragraphs>8006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