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100" w:after="10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88" w:before="100" w:after="100"/>
        <w:jc w:val="center"/>
        <w:rPr>
          <w:rFonts w:ascii="Times New Roman;serif" w:hAnsi="Times New Roman;serif"/>
          <w:b/>
          <w:color w:val="000000"/>
          <w:sz w:val="28"/>
        </w:rPr>
      </w:pPr>
      <w:r>
        <w:rPr>
          <w:rFonts w:ascii="Times New Roman;serif" w:hAnsi="Times New Roman;serif"/>
          <w:b/>
          <w:color w:val="000000"/>
          <w:sz w:val="28"/>
        </w:rPr>
        <w:t xml:space="preserve">CURRENT REPORT </w:t>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6, 2026</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88" w:before="100" w:after="100"/>
        <w:jc w:val="center"/>
        <w:rPr>
          <w:rFonts w:ascii="Times New Roman;serif" w:hAnsi="Times New Roman;serif"/>
          <w:b/>
          <w:color w:val="000000"/>
          <w:sz w:val="36"/>
        </w:rPr>
      </w:pPr>
      <w:r>
        <w:rPr>
          <w:rFonts w:ascii="Times New Roman;serif" w:hAnsi="Times New Roman;serif"/>
          <w:b/>
          <w:color w:val="000000"/>
          <w:sz w:val="36"/>
        </w:rPr>
        <w:t xml:space="preserve">StoneX Group Inc.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tbl>
      <w:tblPr>
        <w:tblW w:w="6742" w:type="dxa"/>
        <w:jc w:val="center"/>
        <w:tblInd w:w="0" w:type="dxa"/>
        <w:tblLayout w:type="fixed"/>
        <w:tblCellMar>
          <w:top w:w="28" w:type="dxa"/>
          <w:left w:w="28" w:type="dxa"/>
          <w:bottom w:w="28" w:type="dxa"/>
          <w:right w:w="28" w:type="dxa"/>
        </w:tblCellMar>
      </w:tblPr>
      <w:tblGrid>
        <w:gridCol w:w="705"/>
        <w:gridCol w:w="618"/>
        <w:gridCol w:w="627"/>
        <w:gridCol w:w="109"/>
        <w:gridCol w:w="109"/>
        <w:gridCol w:w="109"/>
        <w:gridCol w:w="727"/>
        <w:gridCol w:w="727"/>
        <w:gridCol w:w="735"/>
        <w:gridCol w:w="109"/>
        <w:gridCol w:w="109"/>
        <w:gridCol w:w="109"/>
        <w:gridCol w:w="569"/>
        <w:gridCol w:w="569"/>
        <w:gridCol w:w="811"/>
      </w:tblGrid>
      <w:tr>
        <w:trPr/>
        <w:tc>
          <w:tcPr>
            <w:tcW w:w="7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000-23554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59-2921318</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 ID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230 Park Ave, 10th Floor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 xml:space="preserve">New York, NY 10169 </w:t>
      </w:r>
    </w:p>
    <w:p>
      <w:pPr>
        <w:pStyle w:val="TextBody"/>
        <w:bidi w:val="0"/>
        <w:spacing w:lineRule="auto" w:line="288" w:before="100" w:after="100"/>
        <w:jc w:val="center"/>
        <w:rPr>
          <w:rFonts w:ascii="Times New Roman;serif" w:hAnsi="Times New Roman;serif"/>
          <w:b/>
          <w:color w:val="000000"/>
          <w:sz w:val="18"/>
        </w:rPr>
      </w:pPr>
      <w:r>
        <w:rPr>
          <w:rFonts w:ascii="Times New Roman;serif" w:hAnsi="Times New Roman;serif"/>
          <w:b/>
          <w:color w:val="000000"/>
          <w:sz w:val="18"/>
        </w:rPr>
        <w:t xml:space="preserve">(Address of principal executive offices, including Zip Code) </w:t>
      </w:r>
    </w:p>
    <w:p>
      <w:pPr>
        <w:pStyle w:val="TextBody"/>
        <w:bidi w:val="0"/>
        <w:spacing w:lineRule="auto" w:line="288" w:before="100" w:after="100"/>
        <w:jc w:val="center"/>
        <w:rPr/>
      </w:pPr>
      <w:r>
        <w:rPr>
          <w:rFonts w:ascii="Times New Roman;serif" w:hAnsi="Times New Roman;serif"/>
          <w:b/>
          <w:color w:val="000000"/>
          <w:sz w:val="20"/>
        </w:rPr>
        <w:t>(212</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 xml:space="preserve">485-3500 </w:t>
      </w:r>
    </w:p>
    <w:p>
      <w:pPr>
        <w:pStyle w:val="TextBody"/>
        <w:bidi w:val="0"/>
        <w:spacing w:lineRule="auto" w:line="288" w:before="100" w:after="100"/>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center"/>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center"/>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386" w:type="dxa"/>
        <w:jc w:val="center"/>
        <w:tblInd w:w="0" w:type="dxa"/>
        <w:tblLayout w:type="fixed"/>
        <w:tblCellMar>
          <w:top w:w="28" w:type="dxa"/>
          <w:left w:w="28" w:type="dxa"/>
          <w:bottom w:w="28" w:type="dxa"/>
          <w:right w:w="28" w:type="dxa"/>
        </w:tblCellMar>
      </w:tblPr>
      <w:tblGrid>
        <w:gridCol w:w="124"/>
        <w:gridCol w:w="109"/>
        <w:gridCol w:w="109"/>
        <w:gridCol w:w="2649"/>
        <w:gridCol w:w="2649"/>
        <w:gridCol w:w="3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08" w:type="dxa"/>
        <w:jc w:val="left"/>
        <w:tblInd w:w="0" w:type="dxa"/>
        <w:tblLayout w:type="fixed"/>
        <w:tblCellMar>
          <w:top w:w="28" w:type="dxa"/>
          <w:left w:w="28" w:type="dxa"/>
          <w:bottom w:w="28" w:type="dxa"/>
          <w:right w:w="28" w:type="dxa"/>
        </w:tblCellMar>
      </w:tblPr>
      <w:tblGrid>
        <w:gridCol w:w="990"/>
        <w:gridCol w:w="865"/>
        <w:gridCol w:w="875"/>
        <w:gridCol w:w="109"/>
        <w:gridCol w:w="109"/>
        <w:gridCol w:w="109"/>
        <w:gridCol w:w="499"/>
        <w:gridCol w:w="499"/>
        <w:gridCol w:w="501"/>
        <w:gridCol w:w="109"/>
        <w:gridCol w:w="109"/>
        <w:gridCol w:w="109"/>
        <w:gridCol w:w="1118"/>
        <w:gridCol w:w="1118"/>
        <w:gridCol w:w="1589"/>
      </w:tblGrid>
      <w:tr>
        <w:trPr/>
        <w:tc>
          <w:tcPr>
            <w:tcW w:w="99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SNEX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2026, the StoneX Group Inc. (the “Company”) issued a press release on the subject of the Company's results of operations and financial condition for the fiscal quarter ended March 31, 2026.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press release is attached hereto as Exhibit 99.1 and incorporated by reference herein.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furnished under this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 </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Exhibit No.</w:t>
      </w:r>
    </w:p>
    <w:p>
      <w:pPr>
        <w:pStyle w:val="TextBody"/>
        <w:bidi w:val="0"/>
        <w:spacing w:lineRule="auto" w:line="288" w:before="100" w:after="100"/>
        <w:jc w:val="left"/>
        <w:rPr/>
      </w:pPr>
      <w:r>
        <w:rPr>
          <w:rFonts w:ascii="Times New Roman;serif" w:hAnsi="Times New Roman;serif"/>
          <w:b w:val="false"/>
          <w:color w:val="000000"/>
          <w:sz w:val="20"/>
        </w:rPr>
        <w:t>99.1     </w:t>
      </w:r>
      <w:hyperlink w:anchor="snex2026er_exhq2roll.htm">
        <w:r>
          <w:rPr>
            <w:rStyle w:val="InternetLink"/>
            <w:rFonts w:ascii="Times New Roman;serif" w:hAnsi="Times New Roman;serif"/>
            <w:b w:val="false"/>
            <w:color w:val="0000FF"/>
            <w:sz w:val="20"/>
            <w:u w:val="single"/>
          </w:rPr>
          <w:t>Press release dated May 6, 2026.</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8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387" w:type="dxa"/>
        <w:jc w:val="center"/>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09"/>
        <w:gridCol w:w="751"/>
        <w:gridCol w:w="751"/>
        <w:gridCol w:w="10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StoneX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WILLIAM J. DUNAWAY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J. Dunaway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drawing>
          <wp:inline distT="0" distB="0" distL="0" distR="0">
            <wp:extent cx="1619250" cy="381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19250" cy="3810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634" w:type="dxa"/>
        <w:jc w:val="center"/>
        <w:tblInd w:w="0" w:type="dxa"/>
        <w:tblLayout w:type="fixed"/>
        <w:tblCellMar>
          <w:top w:w="28" w:type="dxa"/>
          <w:left w:w="28" w:type="dxa"/>
          <w:bottom w:w="28" w:type="dxa"/>
          <w:right w:w="28" w:type="dxa"/>
        </w:tblCellMar>
      </w:tblPr>
      <w:tblGrid>
        <w:gridCol w:w="2439"/>
        <w:gridCol w:w="2144"/>
        <w:gridCol w:w="3051"/>
      </w:tblGrid>
      <w:tr>
        <w:trPr/>
        <w:tc>
          <w:tcPr>
            <w:tcW w:w="2439"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r>
      <w:tr>
        <w:trPr/>
        <w:tc>
          <w:tcPr>
            <w:tcW w:w="7634"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24"/>
              </w:rPr>
            </w:pPr>
            <w:r>
              <w:rPr>
                <w:rFonts w:ascii="Times New Roman;serif" w:hAnsi="Times New Roman;serif"/>
                <w:b/>
                <w:color w:val="000000"/>
                <w:sz w:val="24"/>
              </w:rPr>
              <w:t>StoneX Group Inc. Reports Fiscal 2026 Second Quarter Financial Results</w:t>
            </w:r>
          </w:p>
        </w:tc>
      </w:tr>
    </w:tbl>
    <w:p>
      <w:pPr>
        <w:pStyle w:val="TextBody"/>
        <w:bidi w:val="0"/>
        <w:spacing w:before="0" w:after="0"/>
        <w:jc w:val="center"/>
        <w:rPr/>
      </w:pPr>
      <w:r>
        <w:rPr/>
      </w:r>
    </w:p>
    <w:p>
      <w:pPr>
        <w:pStyle w:val="TextBody"/>
        <w:bidi w:val="0"/>
        <w:spacing w:lineRule="auto" w:line="288" w:before="0" w:after="100"/>
        <w:jc w:val="center"/>
        <w:rPr>
          <w:rFonts w:ascii="Times New Roman;serif" w:hAnsi="Times New Roman;serif"/>
          <w:b/>
          <w:i/>
          <w:color w:val="000000"/>
          <w:sz w:val="20"/>
        </w:rPr>
      </w:pPr>
      <w:r>
        <w:rPr>
          <w:rFonts w:ascii="Times New Roman;serif" w:hAnsi="Times New Roman;serif"/>
          <w:b/>
          <w:i/>
          <w:color w:val="000000"/>
          <w:sz w:val="20"/>
        </w:rPr>
        <w:t xml:space="preserve">Record Quarterly Net Operating Revenues of $829.1 million, up 70% </w:t>
      </w:r>
    </w:p>
    <w:p>
      <w:pPr>
        <w:pStyle w:val="TextBody"/>
        <w:bidi w:val="0"/>
        <w:spacing w:lineRule="auto" w:line="288" w:before="100" w:after="100"/>
        <w:jc w:val="center"/>
        <w:rPr>
          <w:rFonts w:ascii="Times New Roman;serif" w:hAnsi="Times New Roman;serif"/>
          <w:b/>
          <w:i/>
          <w:color w:val="000000"/>
          <w:sz w:val="20"/>
        </w:rPr>
      </w:pPr>
      <w:r>
        <w:rPr>
          <w:rFonts w:ascii="Times New Roman;serif" w:hAnsi="Times New Roman;serif"/>
          <w:b/>
          <w:i/>
          <w:color w:val="000000"/>
          <w:sz w:val="20"/>
        </w:rPr>
        <w:t>Record Quarterly Net Income of $174.3 million, Quarterly ROE of 26.5%</w:t>
      </w:r>
    </w:p>
    <w:p>
      <w:pPr>
        <w:pStyle w:val="TextBody"/>
        <w:bidi w:val="0"/>
        <w:spacing w:lineRule="auto" w:line="288" w:before="100" w:after="283"/>
        <w:jc w:val="center"/>
        <w:rPr>
          <w:rFonts w:ascii="Times New Roman;serif" w:hAnsi="Times New Roman;serif"/>
          <w:b/>
          <w:i/>
          <w:color w:val="000000"/>
          <w:sz w:val="20"/>
        </w:rPr>
      </w:pPr>
      <w:r>
        <w:rPr>
          <w:rFonts w:ascii="Times New Roman;serif" w:hAnsi="Times New Roman;serif"/>
          <w:b/>
          <w:i/>
          <w:color w:val="000000"/>
          <w:sz w:val="20"/>
        </w:rPr>
        <w:t>Quarterly Diluted EPS of $2.07 per share</w:t>
      </w:r>
    </w:p>
    <w:p>
      <w:pPr>
        <w:pStyle w:val="TextBody"/>
        <w:bidi w:val="0"/>
        <w:spacing w:before="100" w:after="283"/>
        <w:jc w:val="center"/>
        <w:rPr/>
      </w:pPr>
      <w:r>
        <w:rPr/>
      </w:r>
    </w:p>
    <w:p>
      <w:pPr>
        <w:pStyle w:val="TextBody"/>
        <w:bidi w:val="0"/>
        <w:spacing w:before="100" w:after="100"/>
        <w:jc w:val="center"/>
        <w:rPr/>
      </w:pPr>
      <w:r>
        <w:rPr/>
      </w:r>
    </w:p>
    <w:p>
      <w:pPr>
        <w:pStyle w:val="TextBody"/>
        <w:bidi w:val="0"/>
        <w:spacing w:lineRule="auto" w:line="288" w:before="180" w:after="120"/>
        <w:jc w:val="left"/>
        <w:rPr/>
      </w:pPr>
      <w:r>
        <w:rPr>
          <w:rFonts w:ascii="Times New Roman;serif" w:hAnsi="Times New Roman;serif"/>
          <w:b/>
          <w:color w:val="000000"/>
          <w:sz w:val="20"/>
        </w:rPr>
        <w:t xml:space="preserve">NEW YORK – May 6, 2026 </w:t>
      </w:r>
      <w:r>
        <w:rPr>
          <w:color w:val="000000"/>
        </w:rPr>
        <w:t xml:space="preserve">– </w:t>
      </w:r>
      <w:r>
        <w:rPr>
          <w:rFonts w:ascii="Times New Roman;serif" w:hAnsi="Times New Roman;serif"/>
          <w:b w:val="false"/>
          <w:color w:val="000000"/>
          <w:sz w:val="20"/>
        </w:rPr>
        <w:t>StoneX Group Inc. (the “Company”; NASDAQ: SNEX), a leading financial services franchise connecting clients to global markets, today announced its financial results for the fiscal 2026 second quarter ended March 31, 2026.</w:t>
      </w:r>
    </w:p>
    <w:p>
      <w:pPr>
        <w:pStyle w:val="TextBody"/>
        <w:bidi w:val="0"/>
        <w:spacing w:lineRule="auto" w:line="268" w:before="0" w:after="1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We are very pleased to deliver record results for our second quarter of fiscal 2026,” said Philip Smith, the Company’s Chief Executive Officer. “Building on our strong first quarter performance, this represented a highly successful first half of the fiscal year, in terms of both net operating revenues and net income.</w:t>
      </w:r>
    </w:p>
    <w:p>
      <w:pPr>
        <w:pStyle w:val="TextBody"/>
        <w:bidi w:val="0"/>
        <w:spacing w:lineRule="auto" w:line="26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record quarter was driven by strong performances across all four operating segments, highlighting the depth and breadth of the product and service offerings within the unique StoneX ecosystem. Our unwavering commitment to servicing our clients’ business needs continues to drive the direction and growth of this company.</w:t>
      </w:r>
    </w:p>
    <w:p>
      <w:pPr>
        <w:pStyle w:val="TextBody"/>
        <w:bidi w:val="0"/>
        <w:spacing w:lineRule="auto" w:line="26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integration of R.J. O’Brien remains on track to be substantially completed during the course of this fiscal year, and we remain confident in achieving our targeted synergies”, Smith added.</w:t>
      </w:r>
    </w:p>
    <w:p>
      <w:pPr>
        <w:pStyle w:val="TextBody"/>
        <w:bidi w:val="0"/>
        <w:spacing w:before="0" w:after="1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 xml:space="preserve">StoneX Group Inc. Summary Financials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financial statements for the Company will be included in our Quarterly Report on Form 10-Q to be filed with the Securities and Exchange Commission (the “SEC”). Upon filing, the Quarterly Report on Form 10-Q will also be made available on the Company’s website at www.stonex.com. </w:t>
      </w:r>
    </w:p>
    <w:tbl>
      <w:tblPr>
        <w:tblW w:w="10205" w:type="dxa"/>
        <w:jc w:val="left"/>
        <w:tblInd w:w="0" w:type="dxa"/>
        <w:tblLayout w:type="fixed"/>
        <w:tblCellMar>
          <w:top w:w="28" w:type="dxa"/>
          <w:left w:w="28" w:type="dxa"/>
          <w:bottom w:w="28" w:type="dxa"/>
          <w:right w:w="28" w:type="dxa"/>
        </w:tblCellMar>
      </w:tblPr>
      <w:tblGrid>
        <w:gridCol w:w="1133"/>
        <w:gridCol w:w="702"/>
        <w:gridCol w:w="704"/>
        <w:gridCol w:w="196"/>
        <w:gridCol w:w="781"/>
        <w:gridCol w:w="241"/>
        <w:gridCol w:w="109"/>
        <w:gridCol w:w="109"/>
        <w:gridCol w:w="109"/>
        <w:gridCol w:w="196"/>
        <w:gridCol w:w="781"/>
        <w:gridCol w:w="241"/>
        <w:gridCol w:w="109"/>
        <w:gridCol w:w="109"/>
        <w:gridCol w:w="109"/>
        <w:gridCol w:w="185"/>
        <w:gridCol w:w="185"/>
        <w:gridCol w:w="186"/>
        <w:gridCol w:w="109"/>
        <w:gridCol w:w="109"/>
        <w:gridCol w:w="109"/>
        <w:gridCol w:w="196"/>
        <w:gridCol w:w="781"/>
        <w:gridCol w:w="241"/>
        <w:gridCol w:w="109"/>
        <w:gridCol w:w="109"/>
        <w:gridCol w:w="109"/>
        <w:gridCol w:w="196"/>
        <w:gridCol w:w="781"/>
        <w:gridCol w:w="241"/>
        <w:gridCol w:w="109"/>
        <w:gridCol w:w="109"/>
        <w:gridCol w:w="109"/>
        <w:gridCol w:w="176"/>
        <w:gridCol w:w="176"/>
        <w:gridCol w:w="251"/>
      </w:tblGrid>
      <w:tr>
        <w:trPr/>
        <w:tc>
          <w:tcPr>
            <w:tcW w:w="113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March 31,</w:t>
            </w:r>
          </w:p>
        </w:tc>
      </w:tr>
      <w:tr>
        <w:trPr/>
        <w:tc>
          <w:tcPr>
            <w:tcW w:w="2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(Unaudited) (in millions, except share and per share amounts)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w:t>
              <w:br/>
              <w:t>Change</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44,296.9 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35,992.6 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81,986.0 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63,043.7 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45,760.9 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36,890.7 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84,790.8 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64,826.0 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44,194.1 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35,934.7 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81,785.8 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62,925.7 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corporate funding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 rental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616%</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compensation and other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(losses)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Earnings per share:</w:t>
            </w:r>
            <w:r>
              <w:rPr>
                <w:rFonts w:ascii="Times New Roman;serif" w:hAnsi="Times New Roman;serif"/>
                <w:b w:val="false"/>
                <w:color w:val="000000"/>
                <w:sz w:val="10"/>
              </w:rPr>
              <w:t>(1)</w:t>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Weighted-average number of common shares outstanding:</w:t>
            </w:r>
            <w:r>
              <w:rPr>
                <w:rFonts w:ascii="Times New Roman;serif" w:hAnsi="Times New Roman;serif"/>
                <w:b w:val="false"/>
                <w:color w:val="000000"/>
                <w:sz w:val="10"/>
              </w:rPr>
              <w:t>(1)</w:t>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76,498,598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70,184,147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76,174,376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69,903,861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21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81,456,531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74,064,635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80,956,862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73,472,168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equity (“ROE”)</w:t>
            </w:r>
            <w:r>
              <w:rPr>
                <w:rFonts w:ascii="Times New Roman;serif" w:hAnsi="Times New Roman;serif"/>
                <w:b w:val="false"/>
                <w:color w:val="000000"/>
                <w:sz w:val="10"/>
              </w:rPr>
              <w:t>(2)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ROE on tangible book value</w:t>
            </w:r>
            <w:r>
              <w:rPr>
                <w:rFonts w:ascii="Times New Roman;serif" w:hAnsi="Times New Roman;serif"/>
                <w:b w:val="false"/>
                <w:color w:val="000000"/>
                <w:sz w:val="10"/>
              </w:rPr>
              <w:t>(2)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i/>
                <w:color w:val="000000"/>
                <w:sz w:val="16"/>
              </w:rPr>
            </w:pPr>
            <w:r>
              <w:rPr>
                <w:rFonts w:ascii="Times New Roman;serif" w:hAnsi="Times New Roman;serif"/>
                <w:b w:val="false"/>
                <w:i/>
                <w:color w:val="000000"/>
                <w:sz w:val="16"/>
              </w:rPr>
              <w:t>n/m = not meaningful to present as a percentage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 March 20, 2026, the Company effected a three-for-two stock dividend to stockholders of record as of March 10, 2026. The stock split increased the number of shares of common stock outstanding. All share and per share amounts have been retroactively adjusted for the stock split.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Company calculates ROE on stated book value based on net income divided by the average stockholders’ equity, calculated based on average monthly total stockholders’ equity amounts. For the calculation of ROE on tangible book value, the amount of goodwill and intangibles, net is excluded from stockholders’ equity.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operating revenues by segment for the periods indicated.</w:t>
      </w:r>
    </w:p>
    <w:tbl>
      <w:tblPr>
        <w:tblW w:w="10205" w:type="dxa"/>
        <w:jc w:val="center"/>
        <w:tblInd w:w="0" w:type="dxa"/>
        <w:tblLayout w:type="fixed"/>
        <w:tblCellMar>
          <w:top w:w="28" w:type="dxa"/>
          <w:left w:w="28" w:type="dxa"/>
          <w:bottom w:w="28" w:type="dxa"/>
          <w:right w:w="28" w:type="dxa"/>
        </w:tblCellMar>
      </w:tblPr>
      <w:tblGrid>
        <w:gridCol w:w="1058"/>
        <w:gridCol w:w="907"/>
        <w:gridCol w:w="907"/>
        <w:gridCol w:w="196"/>
        <w:gridCol w:w="691"/>
        <w:gridCol w:w="109"/>
        <w:gridCol w:w="109"/>
        <w:gridCol w:w="109"/>
        <w:gridCol w:w="109"/>
        <w:gridCol w:w="196"/>
        <w:gridCol w:w="556"/>
        <w:gridCol w:w="109"/>
        <w:gridCol w:w="109"/>
        <w:gridCol w:w="109"/>
        <w:gridCol w:w="109"/>
        <w:gridCol w:w="310"/>
        <w:gridCol w:w="310"/>
        <w:gridCol w:w="311"/>
        <w:gridCol w:w="109"/>
        <w:gridCol w:w="109"/>
        <w:gridCol w:w="109"/>
        <w:gridCol w:w="196"/>
        <w:gridCol w:w="691"/>
        <w:gridCol w:w="109"/>
        <w:gridCol w:w="109"/>
        <w:gridCol w:w="109"/>
        <w:gridCol w:w="109"/>
        <w:gridCol w:w="196"/>
        <w:gridCol w:w="691"/>
        <w:gridCol w:w="109"/>
        <w:gridCol w:w="109"/>
        <w:gridCol w:w="109"/>
        <w:gridCol w:w="109"/>
        <w:gridCol w:w="268"/>
        <w:gridCol w:w="268"/>
        <w:gridCol w:w="382"/>
      </w:tblGrid>
      <w:tr>
        <w:trPr/>
        <w:tc>
          <w:tcPr>
            <w:tcW w:w="105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operating revenues represented by:</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Institutional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Self-Directed/Retail</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bl>
    <w:p>
      <w:pPr>
        <w:pStyle w:val="TextBody"/>
        <w:bidi w:val="0"/>
        <w:spacing w:before="0" w:after="0"/>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income by segment for the periods indicated.</w:t>
      </w:r>
    </w:p>
    <w:tbl>
      <w:tblPr>
        <w:tblW w:w="9686" w:type="dxa"/>
        <w:jc w:val="center"/>
        <w:tblInd w:w="0" w:type="dxa"/>
        <w:tblLayout w:type="fixed"/>
        <w:tblCellMar>
          <w:top w:w="28" w:type="dxa"/>
          <w:left w:w="28" w:type="dxa"/>
          <w:bottom w:w="28" w:type="dxa"/>
          <w:right w:w="28" w:type="dxa"/>
        </w:tblCellMar>
      </w:tblPr>
      <w:tblGrid>
        <w:gridCol w:w="1000"/>
        <w:gridCol w:w="879"/>
        <w:gridCol w:w="881"/>
        <w:gridCol w:w="196"/>
        <w:gridCol w:w="556"/>
        <w:gridCol w:w="109"/>
        <w:gridCol w:w="109"/>
        <w:gridCol w:w="109"/>
        <w:gridCol w:w="109"/>
        <w:gridCol w:w="196"/>
        <w:gridCol w:w="556"/>
        <w:gridCol w:w="109"/>
        <w:gridCol w:w="109"/>
        <w:gridCol w:w="109"/>
        <w:gridCol w:w="109"/>
        <w:gridCol w:w="310"/>
        <w:gridCol w:w="310"/>
        <w:gridCol w:w="31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income represented by:</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Institutional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Self-Directed/Retail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606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of segment income to income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operating loss within Corporate</w:t>
            </w:r>
            <w:r>
              <w:rPr>
                <w:color w:val="000000"/>
              </w:rPr>
              <w:t xml:space="preserve">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Overhead costs, net of shared services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r>
    </w:tbl>
    <w:tbl>
      <w:tblPr>
        <w:tblW w:w="3792" w:type="dxa"/>
        <w:jc w:val="center"/>
        <w:tblInd w:w="0" w:type="dxa"/>
        <w:tblLayout w:type="fixed"/>
        <w:tblCellMar>
          <w:top w:w="28" w:type="dxa"/>
          <w:left w:w="28" w:type="dxa"/>
          <w:bottom w:w="28" w:type="dxa"/>
          <w:right w:w="28" w:type="dxa"/>
        </w:tblCellMar>
      </w:tblPr>
      <w:tblGrid>
        <w:gridCol w:w="124"/>
        <w:gridCol w:w="109"/>
        <w:gridCol w:w="109"/>
        <w:gridCol w:w="278"/>
        <w:gridCol w:w="278"/>
        <w:gridCol w:w="278"/>
        <w:gridCol w:w="278"/>
        <w:gridCol w:w="278"/>
        <w:gridCol w:w="278"/>
        <w:gridCol w:w="278"/>
        <w:gridCol w:w="278"/>
        <w:gridCol w:w="278"/>
        <w:gridCol w:w="278"/>
        <w:gridCol w:w="278"/>
        <w:gridCol w:w="3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345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interest expense on corporate funding.</w:t>
            </w:r>
          </w:p>
        </w:tc>
      </w:tr>
    </w:tbl>
    <w:p>
      <w:pPr>
        <w:pStyle w:val="TextBody"/>
        <w:bidi w:val="0"/>
        <w:spacing w:before="20" w:after="283"/>
        <w:jc w:val="left"/>
        <w:rPr/>
      </w:pPr>
      <w:r>
        <w:rPr/>
      </w:r>
    </w:p>
    <w:p>
      <w:pPr>
        <w:pStyle w:val="TextBody"/>
        <w:bidi w:val="0"/>
        <w:spacing w:before="20" w:after="283"/>
        <w:jc w:val="left"/>
        <w:rPr/>
      </w:pPr>
      <w:r>
        <w:rPr/>
      </w: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0" w:after="283"/>
        <w:jc w:val="left"/>
        <w:rPr>
          <w:rFonts w:ascii="Times New Roman;serif" w:hAnsi="Times New Roman;serif"/>
          <w:b/>
          <w:color w:val="000000"/>
          <w:sz w:val="20"/>
          <w:u w:val="single"/>
        </w:rPr>
      </w:pPr>
      <w:r>
        <w:rPr>
          <w:rFonts w:ascii="Times New Roman;serif" w:hAnsi="Times New Roman;serif"/>
          <w:b/>
          <w:color w:val="000000"/>
          <w:sz w:val="20"/>
          <w:u w:val="single"/>
        </w:rPr>
        <w:t>Key Operating Metrics</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tables below present operating revenues disaggregated across the key products we provide to our clients and select operating data and metrics used by management in evaluating our performance, for the periods indicated. </w:t>
      </w:r>
    </w:p>
    <w:tbl>
      <w:tblPr>
        <w:tblW w:w="10205" w:type="dxa"/>
        <w:jc w:val="left"/>
        <w:tblInd w:w="0" w:type="dxa"/>
        <w:tblLayout w:type="fixed"/>
        <w:tblCellMar>
          <w:top w:w="28" w:type="dxa"/>
          <w:left w:w="28" w:type="dxa"/>
          <w:bottom w:w="28" w:type="dxa"/>
          <w:right w:w="28" w:type="dxa"/>
        </w:tblCellMar>
      </w:tblPr>
      <w:tblGrid>
        <w:gridCol w:w="1174"/>
        <w:gridCol w:w="831"/>
        <w:gridCol w:w="838"/>
        <w:gridCol w:w="196"/>
        <w:gridCol w:w="691"/>
        <w:gridCol w:w="109"/>
        <w:gridCol w:w="109"/>
        <w:gridCol w:w="109"/>
        <w:gridCol w:w="109"/>
        <w:gridCol w:w="196"/>
        <w:gridCol w:w="646"/>
        <w:gridCol w:w="109"/>
        <w:gridCol w:w="109"/>
        <w:gridCol w:w="109"/>
        <w:gridCol w:w="109"/>
        <w:gridCol w:w="290"/>
        <w:gridCol w:w="290"/>
        <w:gridCol w:w="291"/>
        <w:gridCol w:w="109"/>
        <w:gridCol w:w="109"/>
        <w:gridCol w:w="109"/>
        <w:gridCol w:w="196"/>
        <w:gridCol w:w="691"/>
        <w:gridCol w:w="109"/>
        <w:gridCol w:w="109"/>
        <w:gridCol w:w="109"/>
        <w:gridCol w:w="109"/>
        <w:gridCol w:w="196"/>
        <w:gridCol w:w="691"/>
        <w:gridCol w:w="109"/>
        <w:gridCol w:w="109"/>
        <w:gridCol w:w="109"/>
        <w:gridCol w:w="109"/>
        <w:gridCol w:w="268"/>
        <w:gridCol w:w="268"/>
        <w:gridCol w:w="381"/>
      </w:tblGrid>
      <w:tr>
        <w:trPr/>
        <w:tc>
          <w:tcPr>
            <w:tcW w:w="117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Revenues (in millions):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w:t>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Over-the-counter (“OTC”) derivatives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FX/Contracts for difference (“CFD”) contracts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contracts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Interest/fees earned on client balances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w:t>
            </w:r>
            <w:r>
              <w:rPr>
                <w:rFonts w:ascii="Times New Roman;serif" w:hAnsi="Times New Roman;serif"/>
                <w:b w:val="false"/>
                <w:color w:val="000000"/>
                <w:sz w:val="10"/>
              </w:rPr>
              <w:t>(1)</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Volumes and Other Select Data: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Listed derivatives (contracts, 000’s)</w:t>
            </w:r>
            <w:r>
              <w:rPr>
                <w:rFonts w:ascii="Times New Roman;serif" w:hAnsi="Times New Roman;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Listed derivatives, average rate per contract (“RPC”)</w:t>
            </w:r>
            <w:r>
              <w:rPr>
                <w:rFonts w:ascii="Times New Roman;serif" w:hAnsi="Times New Roman;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client equity - listed derivatives (millions)</w:t>
            </w:r>
            <w:r>
              <w:rPr>
                <w:rFonts w:ascii="Times New Roman;serif" w:hAnsi="Times New Roman;serif"/>
                <w:b w:val="false"/>
                <w:color w:val="000000"/>
                <w:sz w:val="10"/>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 (contracts, 000’s)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 average RPC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average daily volume (“ADV”)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Securities rate per million (“RPM”)</w:t>
            </w:r>
            <w:r>
              <w:rPr>
                <w:rFonts w:ascii="Times New Roman;serif" w:hAnsi="Times New Roman;serif"/>
                <w:b w:val="false"/>
                <w:color w:val="000000"/>
                <w:sz w:val="10"/>
              </w:rPr>
              <w:t>(4)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money market/FDIC sweep client balances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FX/CFD contracts RPM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RPM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EBITDA (in millions)</w:t>
            </w:r>
            <w:r>
              <w:rPr>
                <w:rFonts w:ascii="Times New Roman;serif" w:hAnsi="Times New Roman;serif"/>
                <w:b w:val="false"/>
                <w:color w:val="000000"/>
                <w:sz w:val="10"/>
              </w:rPr>
              <w:t>(5)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operating revenue primarily includes consulting, management and account fees related to prime services, investment banking and advisory services, as well as interest income associated with securities lending activities.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acquisition of the R.J. O’Brien global business (“RJO”), effective July 31, 2025, contributed 37.8 million and 68.7 million listed derivative contracts and $6.4 billion and $6.1 billion in average client equity for the three and six months ended March 31, 2026,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Give-up fee revenues, related to contract execution for clients of other FCMs, as well as cash and voice brokerage revenues are excluded from the calculation of listed derivatives, average rate per contract.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Interest expense associated with our fixed income activities is deducted from operating revenues in the calculation of Securities RPM while interest income related to securities lending is excluded.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12"/>
            <w:tcBorders/>
            <w:tcMar>
              <w:top w:w="0" w:type="dxa"/>
              <w:left w:w="0" w:type="dxa"/>
              <w:bottom w:w="0" w:type="dxa"/>
              <w:right w:w="0" w:type="dxa"/>
            </w:tcMar>
            <w:vAlign w:val="center"/>
          </w:tcPr>
          <w:p>
            <w:pPr>
              <w:pStyle w:val="TableContents"/>
              <w:bidi w:val="0"/>
              <w:spacing w:lineRule="auto" w:line="240" w:before="120" w:after="200"/>
              <w:jc w:val="left"/>
              <w:rPr>
                <w:rFonts w:ascii="Times New Roman;serif" w:hAnsi="Times New Roman;serif"/>
                <w:b w:val="false"/>
                <w:color w:val="000000"/>
                <w:sz w:val="16"/>
              </w:rPr>
            </w:pPr>
            <w:r>
              <w:rPr>
                <w:rFonts w:ascii="Times New Roman;serif" w:hAnsi="Times New Roman;serif"/>
                <w:b w:val="false"/>
                <w:color w:val="000000"/>
                <w:sz w:val="16"/>
              </w:rPr>
              <w:t>Adjusted EBITDA is a non-GAAP measure. See Appendix - Non-GAAP Financial Information for further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Interest expense</w:t>
      </w:r>
    </w:p>
    <w:tbl>
      <w:tblPr>
        <w:tblW w:w="10205" w:type="dxa"/>
        <w:jc w:val="left"/>
        <w:tblInd w:w="0" w:type="dxa"/>
        <w:tblLayout w:type="fixed"/>
        <w:tblCellMar>
          <w:top w:w="28" w:type="dxa"/>
          <w:left w:w="28" w:type="dxa"/>
          <w:bottom w:w="28" w:type="dxa"/>
          <w:right w:w="28" w:type="dxa"/>
        </w:tblCellMar>
      </w:tblPr>
      <w:tblGrid>
        <w:gridCol w:w="1240"/>
        <w:gridCol w:w="1065"/>
        <w:gridCol w:w="1028"/>
        <w:gridCol w:w="196"/>
        <w:gridCol w:w="556"/>
        <w:gridCol w:w="109"/>
        <w:gridCol w:w="109"/>
        <w:gridCol w:w="109"/>
        <w:gridCol w:w="109"/>
        <w:gridCol w:w="196"/>
        <w:gridCol w:w="556"/>
        <w:gridCol w:w="109"/>
        <w:gridCol w:w="109"/>
        <w:gridCol w:w="109"/>
        <w:gridCol w:w="109"/>
        <w:gridCol w:w="206"/>
        <w:gridCol w:w="206"/>
        <w:gridCol w:w="459"/>
        <w:gridCol w:w="109"/>
        <w:gridCol w:w="109"/>
        <w:gridCol w:w="109"/>
        <w:gridCol w:w="196"/>
        <w:gridCol w:w="556"/>
        <w:gridCol w:w="109"/>
        <w:gridCol w:w="109"/>
        <w:gridCol w:w="109"/>
        <w:gridCol w:w="109"/>
        <w:gridCol w:w="196"/>
        <w:gridCol w:w="556"/>
        <w:gridCol w:w="109"/>
        <w:gridCol w:w="109"/>
        <w:gridCol w:w="109"/>
        <w:gridCol w:w="109"/>
        <w:gridCol w:w="200"/>
        <w:gridCol w:w="200"/>
        <w:gridCol w:w="522"/>
      </w:tblGrid>
      <w:tr>
        <w:trPr/>
        <w:tc>
          <w:tcPr>
            <w:tcW w:w="124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3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attributable to:</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Institutional dealer in fixed income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Client balances on deposit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financing facilities of subsidiaries and other direct interest of operating segments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funding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interest expense attributable to fixed income securities and securities borrowing was principally due to the growth in the size of the security repo and securities lending businesses. The business activities of RJO added an incremental $26.5 million and $53.2 million of interest expense, with $23.6 million and $47.9 million attributable to client balances for the three and six months ended March 31, 2026.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increase in interest expense attributable to corporate funding was principally due to the issuance of $625 million in aggregate principal amount of the Notes due 2032, which closed on July 8,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disaggregation of consolidated net operating revenues used by management in evaluating our performance, for the periods indicated:</w:t>
      </w:r>
    </w:p>
    <w:tbl>
      <w:tblPr>
        <w:tblW w:w="10120" w:type="dxa"/>
        <w:jc w:val="left"/>
        <w:tblInd w:w="0" w:type="dxa"/>
        <w:tblLayout w:type="fixed"/>
        <w:tblCellMar>
          <w:top w:w="28" w:type="dxa"/>
          <w:left w:w="28" w:type="dxa"/>
          <w:bottom w:w="28" w:type="dxa"/>
          <w:right w:w="28" w:type="dxa"/>
        </w:tblCellMar>
      </w:tblPr>
      <w:tblGrid>
        <w:gridCol w:w="1129"/>
        <w:gridCol w:w="993"/>
        <w:gridCol w:w="997"/>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691"/>
        <w:gridCol w:w="109"/>
        <w:gridCol w:w="109"/>
        <w:gridCol w:w="109"/>
        <w:gridCol w:w="109"/>
        <w:gridCol w:w="196"/>
        <w:gridCol w:w="556"/>
        <w:gridCol w:w="109"/>
        <w:gridCol w:w="109"/>
        <w:gridCol w:w="109"/>
        <w:gridCol w:w="109"/>
        <w:gridCol w:w="268"/>
        <w:gridCol w:w="268"/>
        <w:gridCol w:w="380"/>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139%</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contracts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139%</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net / fees earned on client balances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color w:val="000000"/>
              </w:rPr>
              <w:t xml:space="preserve">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operating revenues primarily includes consulting, management and account fees related to prime services, investment banking and advisory services, as well as interest income, net of interest expense associated with securities lending activities and subordinated debt.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Variable vs. Fixed Expenses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our variable expenses and non-variable expenses as a percentage of total non-interest expenses for the periods indicated.</w:t>
      </w:r>
    </w:p>
    <w:tbl>
      <w:tblPr>
        <w:tblW w:w="10205" w:type="dxa"/>
        <w:jc w:val="left"/>
        <w:tblInd w:w="0" w:type="dxa"/>
        <w:tblLayout w:type="fixed"/>
        <w:tblCellMar>
          <w:top w:w="28" w:type="dxa"/>
          <w:left w:w="28" w:type="dxa"/>
          <w:bottom w:w="28" w:type="dxa"/>
          <w:right w:w="28" w:type="dxa"/>
        </w:tblCellMar>
      </w:tblPr>
      <w:tblGrid>
        <w:gridCol w:w="849"/>
        <w:gridCol w:w="641"/>
        <w:gridCol w:w="649"/>
        <w:gridCol w:w="196"/>
        <w:gridCol w:w="556"/>
        <w:gridCol w:w="109"/>
        <w:gridCol w:w="109"/>
        <w:gridCol w:w="109"/>
        <w:gridCol w:w="109"/>
        <w:gridCol w:w="167"/>
        <w:gridCol w:w="167"/>
        <w:gridCol w:w="169"/>
        <w:gridCol w:w="109"/>
        <w:gridCol w:w="109"/>
        <w:gridCol w:w="109"/>
        <w:gridCol w:w="196"/>
        <w:gridCol w:w="556"/>
        <w:gridCol w:w="109"/>
        <w:gridCol w:w="109"/>
        <w:gridCol w:w="109"/>
        <w:gridCol w:w="109"/>
        <w:gridCol w:w="167"/>
        <w:gridCol w:w="167"/>
        <w:gridCol w:w="169"/>
        <w:gridCol w:w="109"/>
        <w:gridCol w:w="109"/>
        <w:gridCol w:w="109"/>
        <w:gridCol w:w="196"/>
        <w:gridCol w:w="691"/>
        <w:gridCol w:w="109"/>
        <w:gridCol w:w="109"/>
        <w:gridCol w:w="109"/>
        <w:gridCol w:w="109"/>
        <w:gridCol w:w="167"/>
        <w:gridCol w:w="167"/>
        <w:gridCol w:w="169"/>
        <w:gridCol w:w="109"/>
        <w:gridCol w:w="109"/>
        <w:gridCol w:w="109"/>
        <w:gridCol w:w="196"/>
        <w:gridCol w:w="691"/>
        <w:gridCol w:w="109"/>
        <w:gridCol w:w="109"/>
        <w:gridCol w:w="109"/>
        <w:gridCol w:w="109"/>
        <w:gridCol w:w="160"/>
        <w:gridCol w:w="160"/>
        <w:gridCol w:w="234"/>
      </w:tblGrid>
      <w:tr>
        <w:trPr/>
        <w:tc>
          <w:tcPr>
            <w:tcW w:w="84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variable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non-variable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Other (Losses) Gains, net</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results of the three months ended March 31, 2026 included a $2.5 million charge on the abandonment of certain software license and capitalized internally developed expenditures, and an equity investment loss of $0.2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Segment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activities are managed through four operating segments, including Commercial, Institutional, Self-Directed/Retail and Payments.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tables below present the financial performance, a disaggregation of operating revenues, select operating data and metrics, and a disaggregation of net operating revenue used by management in evaluating the performance of our segments, for the periods indicated.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 period ended September 30, 2025, our acquisition of RJO triggered a reassessment of the financial information reviewed by management. We determined the acquired business activities of RJO were similar to our existing businesses, and the reassessment confirmed the current composition of the Company’s operating segments, except for one change resulting in the combination of all physical trading capabilities in precious metals being reported within the Commercial segment. Previously, the Self-Directed/Retail segment contained a portion of our precious metals activities. All segment information has been revised to reflect all precious metals business within the Commercial segment retroactive to October 1, 2024.</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information on the performance of our segments will be included in our Quarterly Report on Form 10-Q to be filed with the SEC. </w:t>
      </w: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Commercial</w:t>
      </w:r>
    </w:p>
    <w:tbl>
      <w:tblPr>
        <w:tblW w:w="10205" w:type="dxa"/>
        <w:jc w:val="center"/>
        <w:tblInd w:w="0" w:type="dxa"/>
        <w:tblLayout w:type="fixed"/>
        <w:tblCellMar>
          <w:top w:w="28" w:type="dxa"/>
          <w:left w:w="28" w:type="dxa"/>
          <w:bottom w:w="28" w:type="dxa"/>
          <w:right w:w="28" w:type="dxa"/>
        </w:tblCellMar>
      </w:tblPr>
      <w:tblGrid>
        <w:gridCol w:w="1152"/>
        <w:gridCol w:w="641"/>
        <w:gridCol w:w="645"/>
        <w:gridCol w:w="196"/>
        <w:gridCol w:w="781"/>
        <w:gridCol w:w="109"/>
        <w:gridCol w:w="109"/>
        <w:gridCol w:w="109"/>
        <w:gridCol w:w="109"/>
        <w:gridCol w:w="196"/>
        <w:gridCol w:w="781"/>
        <w:gridCol w:w="109"/>
        <w:gridCol w:w="109"/>
        <w:gridCol w:w="109"/>
        <w:gridCol w:w="109"/>
        <w:gridCol w:w="290"/>
        <w:gridCol w:w="290"/>
        <w:gridCol w:w="291"/>
        <w:gridCol w:w="109"/>
        <w:gridCol w:w="109"/>
        <w:gridCol w:w="109"/>
        <w:gridCol w:w="196"/>
        <w:gridCol w:w="781"/>
        <w:gridCol w:w="109"/>
        <w:gridCol w:w="109"/>
        <w:gridCol w:w="109"/>
        <w:gridCol w:w="109"/>
        <w:gridCol w:w="196"/>
        <w:gridCol w:w="781"/>
        <w:gridCol w:w="109"/>
        <w:gridCol w:w="109"/>
        <w:gridCol w:w="109"/>
        <w:gridCol w:w="109"/>
        <w:gridCol w:w="268"/>
        <w:gridCol w:w="268"/>
        <w:gridCol w:w="381"/>
      </w:tblGrid>
      <w:tr>
        <w:trPr/>
        <w:tc>
          <w:tcPr>
            <w:tcW w:w="11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316%</w:t>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Non-variable direct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r>
      <w:tr>
        <w:trPr/>
        <w:tc>
          <w:tcPr>
            <w:tcW w:w="243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 less allocation of overhead costs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w:t>
            </w:r>
          </w:p>
        </w:tc>
      </w:tr>
    </w:tbl>
    <w:tbl>
      <w:tblPr>
        <w:tblW w:w="10205" w:type="dxa"/>
        <w:jc w:val="center"/>
        <w:tblInd w:w="0" w:type="dxa"/>
        <w:tblLayout w:type="fixed"/>
        <w:tblCellMar>
          <w:top w:w="28" w:type="dxa"/>
          <w:left w:w="28" w:type="dxa"/>
          <w:bottom w:w="28" w:type="dxa"/>
          <w:right w:w="28" w:type="dxa"/>
        </w:tblCellMar>
      </w:tblPr>
      <w:tblGrid>
        <w:gridCol w:w="1211"/>
        <w:gridCol w:w="1060"/>
        <w:gridCol w:w="1067"/>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1"/>
      </w:tblGrid>
      <w:tr>
        <w:trPr/>
        <w:tc>
          <w:tcPr>
            <w:tcW w:w="121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contracts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Interest/fees earned on client balances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1"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Volumes and Other Select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Listed derivatives (contracts, 000’s)</w:t>
            </w:r>
            <w:r>
              <w:rPr>
                <w:rFonts w:ascii="Times New Roman;serif" w:hAnsi="Times New Roman;serif"/>
                <w:b w:val="false"/>
                <w:color w:val="000000"/>
                <w:sz w:val="10"/>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Listed derivatives, average RPC</w:t>
            </w:r>
            <w:r>
              <w:rPr>
                <w:rFonts w:ascii="Times New Roman;serif" w:hAnsi="Times New Roman;serif"/>
                <w:b w:val="false"/>
                <w:color w:val="000000"/>
                <w:sz w:val="10"/>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client equity - listed derivatives (millions)</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140%</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 (contracts, 000’s)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 average RPC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acquisition of RJO, effective July 31, 2025, contributed 5.1 million and 10.9 million listed derivative contracts and $2.1 billion and $2.2 billion in average client equity for the three and six months ended March 31, 2026,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Give-up fee revenues, related to contract execution for clients of other FCMs, as well as cash and voice brokerage revenues are excluded from the calculation of listed derivatives, average RPC.</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2717" w:type="dxa"/>
            <w:gridSpan w:val="3"/>
            <w:tcBorders/>
            <w:vAlign w:val="center"/>
          </w:tcPr>
          <w:p>
            <w:pPr>
              <w:pStyle w:val="TableContents"/>
              <w:bidi w:val="0"/>
              <w:spacing w:before="0" w:after="283"/>
              <w:jc w:val="left"/>
              <w:rPr>
                <w:sz w:val="4"/>
                <w:szCs w:val="4"/>
              </w:rPr>
            </w:pPr>
            <w:r>
              <w:rPr>
                <w:sz w:val="4"/>
                <w:szCs w:val="4"/>
              </w:rPr>
            </w:r>
          </w:p>
        </w:tc>
      </w:tr>
    </w:tbl>
    <w:tbl>
      <w:tblPr>
        <w:tblW w:w="9716" w:type="dxa"/>
        <w:jc w:val="center"/>
        <w:tblInd w:w="0" w:type="dxa"/>
        <w:tblLayout w:type="fixed"/>
        <w:tblCellMar>
          <w:top w:w="28" w:type="dxa"/>
          <w:left w:w="28" w:type="dxa"/>
          <w:bottom w:w="28" w:type="dxa"/>
          <w:right w:w="28" w:type="dxa"/>
        </w:tblCellMar>
      </w:tblPr>
      <w:tblGrid>
        <w:gridCol w:w="1031"/>
        <w:gridCol w:w="906"/>
        <w:gridCol w:w="913"/>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contracts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139%</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Interest/fees earned on client balances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r>
    </w:tbl>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Institutional</w:t>
      </w:r>
    </w:p>
    <w:tbl>
      <w:tblPr>
        <w:tblW w:w="10205" w:type="dxa"/>
        <w:jc w:val="left"/>
        <w:tblInd w:w="0" w:type="dxa"/>
        <w:tblLayout w:type="fixed"/>
        <w:tblCellMar>
          <w:top w:w="28" w:type="dxa"/>
          <w:left w:w="28" w:type="dxa"/>
          <w:bottom w:w="28" w:type="dxa"/>
          <w:right w:w="28" w:type="dxa"/>
        </w:tblCellMar>
      </w:tblPr>
      <w:tblGrid>
        <w:gridCol w:w="1458"/>
        <w:gridCol w:w="983"/>
        <w:gridCol w:w="987"/>
        <w:gridCol w:w="196"/>
        <w:gridCol w:w="556"/>
        <w:gridCol w:w="109"/>
        <w:gridCol w:w="109"/>
        <w:gridCol w:w="109"/>
        <w:gridCol w:w="109"/>
        <w:gridCol w:w="196"/>
        <w:gridCol w:w="46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1"/>
      </w:tblGrid>
      <w:tr>
        <w:trPr/>
        <w:tc>
          <w:tcPr>
            <w:tcW w:w="145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3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Non-variable direct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 gain,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 less allocation of overhead costs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r>
    </w:tbl>
    <w:tbl>
      <w:tblPr>
        <w:tblW w:w="10205" w:type="dxa"/>
        <w:jc w:val="center"/>
        <w:tblInd w:w="0" w:type="dxa"/>
        <w:tblLayout w:type="fixed"/>
        <w:tblCellMar>
          <w:top w:w="28" w:type="dxa"/>
          <w:left w:w="28" w:type="dxa"/>
          <w:bottom w:w="28" w:type="dxa"/>
          <w:right w:w="28" w:type="dxa"/>
        </w:tblCellMar>
      </w:tblPr>
      <w:tblGrid>
        <w:gridCol w:w="1089"/>
        <w:gridCol w:w="941"/>
        <w:gridCol w:w="947"/>
        <w:gridCol w:w="196"/>
        <w:gridCol w:w="646"/>
        <w:gridCol w:w="109"/>
        <w:gridCol w:w="109"/>
        <w:gridCol w:w="109"/>
        <w:gridCol w:w="109"/>
        <w:gridCol w:w="196"/>
        <w:gridCol w:w="556"/>
        <w:gridCol w:w="109"/>
        <w:gridCol w:w="109"/>
        <w:gridCol w:w="109"/>
        <w:gridCol w:w="109"/>
        <w:gridCol w:w="290"/>
        <w:gridCol w:w="290"/>
        <w:gridCol w:w="291"/>
        <w:gridCol w:w="109"/>
        <w:gridCol w:w="109"/>
        <w:gridCol w:w="109"/>
        <w:gridCol w:w="196"/>
        <w:gridCol w:w="691"/>
        <w:gridCol w:w="109"/>
        <w:gridCol w:w="109"/>
        <w:gridCol w:w="109"/>
        <w:gridCol w:w="109"/>
        <w:gridCol w:w="196"/>
        <w:gridCol w:w="691"/>
        <w:gridCol w:w="109"/>
        <w:gridCol w:w="109"/>
        <w:gridCol w:w="109"/>
        <w:gridCol w:w="109"/>
        <w:gridCol w:w="268"/>
        <w:gridCol w:w="268"/>
        <w:gridCol w:w="382"/>
      </w:tblGrid>
      <w:tr>
        <w:trPr/>
        <w:tc>
          <w:tcPr>
            <w:tcW w:w="108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Revenues (in millions):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186%</w:t>
            </w:r>
          </w:p>
        </w:tc>
      </w:tr>
      <w:tr>
        <w:trPr/>
        <w:tc>
          <w:tcPr>
            <w:tcW w:w="29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 contracts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Interest/fees earned on client balances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Volumes and Other Select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Listed derivatives (contracts, 000’s)</w:t>
            </w:r>
            <w:r>
              <w:rPr>
                <w:rFonts w:ascii="Times New Roman;serif" w:hAnsi="Times New Roman;serif"/>
                <w:b w:val="false"/>
                <w:color w:val="000000"/>
                <w:sz w:val="10"/>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Listed derivatives, average RPC</w:t>
            </w:r>
            <w:r>
              <w:rPr>
                <w:rFonts w:ascii="Times New Roman;serif" w:hAnsi="Times New Roman;serif"/>
                <w:b w:val="false"/>
                <w:color w:val="000000"/>
                <w:sz w:val="10"/>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client equity - listed derivatives (millions)</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Securities RPM</w:t>
            </w:r>
            <w:r>
              <w:rPr>
                <w:rFonts w:ascii="Times New Roman;serif" w:hAnsi="Times New Roman;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money market/FDIC sweep client balances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 contracts ADV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 contracts RPM</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acquisition of RJO, effective July 31, 2025, contributed 32.7 million and 57.9 million listed derivative contracts and $4.2 billion and $3.9 billion in average client equity for the three and six months ended March 31, 2026,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Give-up fees, related to contract execution for clients of other FCMs, are excluded from the calculation of listed derivatives, average RPC.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associated with our fixed income activities is deducted from operating revenues in the calculation of Securities RPM, while interest income related to securities lending is excluded.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7481" w:type="dxa"/>
            <w:gridSpan w:val="9"/>
            <w:tcBorders/>
          </w:tcPr>
          <w:p>
            <w:pPr>
              <w:pStyle w:val="TableContents"/>
              <w:bidi w:val="0"/>
              <w:spacing w:before="0" w:after="283"/>
              <w:jc w:val="left"/>
              <w:rPr>
                <w:sz w:val="4"/>
                <w:szCs w:val="4"/>
              </w:rPr>
            </w:pPr>
            <w:r>
              <w:rPr>
                <w:sz w:val="4"/>
                <w:szCs w:val="4"/>
              </w:rPr>
            </w:r>
          </w:p>
        </w:tc>
      </w:tr>
    </w:tbl>
    <w:tbl>
      <w:tblPr>
        <w:tblW w:w="9716" w:type="dxa"/>
        <w:jc w:val="center"/>
        <w:tblInd w:w="0" w:type="dxa"/>
        <w:tblLayout w:type="fixed"/>
        <w:tblCellMar>
          <w:top w:w="28" w:type="dxa"/>
          <w:left w:w="28" w:type="dxa"/>
          <w:bottom w:w="28" w:type="dxa"/>
          <w:right w:w="28" w:type="dxa"/>
        </w:tblCellMar>
      </w:tblPr>
      <w:tblGrid>
        <w:gridCol w:w="1031"/>
        <w:gridCol w:w="906"/>
        <w:gridCol w:w="913"/>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410%</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 contracts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Interest/fees earned on client balances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163%</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bl>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0" w:after="283"/>
        <w:jc w:val="left"/>
        <w:rPr>
          <w:rFonts w:ascii="Times New Roman;serif" w:hAnsi="Times New Roman;serif"/>
          <w:b/>
          <w:color w:val="000000"/>
          <w:sz w:val="20"/>
        </w:rPr>
      </w:pPr>
      <w:r>
        <w:rPr>
          <w:rFonts w:ascii="Times New Roman;serif" w:hAnsi="Times New Roman;serif"/>
          <w:b/>
          <w:color w:val="000000"/>
          <w:sz w:val="20"/>
        </w:rPr>
        <w:t>Self-Directed/Retail</w:t>
      </w:r>
    </w:p>
    <w:tbl>
      <w:tblPr>
        <w:tblW w:w="10030" w:type="dxa"/>
        <w:jc w:val="center"/>
        <w:tblInd w:w="0" w:type="dxa"/>
        <w:tblLayout w:type="fixed"/>
        <w:tblCellMar>
          <w:top w:w="28" w:type="dxa"/>
          <w:left w:w="28" w:type="dxa"/>
          <w:bottom w:w="28" w:type="dxa"/>
          <w:right w:w="28" w:type="dxa"/>
        </w:tblCellMar>
      </w:tblPr>
      <w:tblGrid>
        <w:gridCol w:w="1506"/>
        <w:gridCol w:w="1037"/>
        <w:gridCol w:w="1041"/>
        <w:gridCol w:w="196"/>
        <w:gridCol w:w="466"/>
        <w:gridCol w:w="109"/>
        <w:gridCol w:w="109"/>
        <w:gridCol w:w="109"/>
        <w:gridCol w:w="109"/>
        <w:gridCol w:w="196"/>
        <w:gridCol w:w="406"/>
        <w:gridCol w:w="109"/>
        <w:gridCol w:w="109"/>
        <w:gridCol w:w="109"/>
        <w:gridCol w:w="109"/>
        <w:gridCol w:w="290"/>
        <w:gridCol w:w="290"/>
        <w:gridCol w:w="291"/>
        <w:gridCol w:w="109"/>
        <w:gridCol w:w="109"/>
        <w:gridCol w:w="109"/>
        <w:gridCol w:w="196"/>
        <w:gridCol w:w="466"/>
        <w:gridCol w:w="109"/>
        <w:gridCol w:w="109"/>
        <w:gridCol w:w="109"/>
        <w:gridCol w:w="109"/>
        <w:gridCol w:w="196"/>
        <w:gridCol w:w="466"/>
        <w:gridCol w:w="109"/>
        <w:gridCol w:w="109"/>
        <w:gridCol w:w="109"/>
        <w:gridCol w:w="109"/>
        <w:gridCol w:w="268"/>
        <w:gridCol w:w="268"/>
        <w:gridCol w:w="380"/>
      </w:tblGrid>
      <w:tr>
        <w:trPr/>
        <w:tc>
          <w:tcPr>
            <w:tcW w:w="150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Non-variable direct expenses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 less allocation of overhead costs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r>
    </w:tbl>
    <w:tbl>
      <w:tblPr>
        <w:tblW w:w="9595" w:type="dxa"/>
        <w:jc w:val="center"/>
        <w:tblInd w:w="0" w:type="dxa"/>
        <w:tblLayout w:type="fixed"/>
        <w:tblCellMar>
          <w:top w:w="28" w:type="dxa"/>
          <w:left w:w="28" w:type="dxa"/>
          <w:bottom w:w="28" w:type="dxa"/>
          <w:right w:w="28" w:type="dxa"/>
        </w:tblCellMar>
      </w:tblPr>
      <w:tblGrid>
        <w:gridCol w:w="987"/>
        <w:gridCol w:w="868"/>
        <w:gridCol w:w="874"/>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Interest/fees earned on client balances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2"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Volumes and Other Select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 RPM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r>
    </w:tbl>
    <w:p>
      <w:pPr>
        <w:pStyle w:val="TextBody"/>
        <w:bidi w:val="0"/>
        <w:spacing w:before="0" w:after="0"/>
        <w:jc w:val="left"/>
        <w:rPr/>
      </w:pPr>
      <w:r>
        <w:rPr/>
      </w:r>
    </w:p>
    <w:tbl>
      <w:tblPr>
        <w:tblW w:w="9536" w:type="dxa"/>
        <w:jc w:val="center"/>
        <w:tblInd w:w="0" w:type="dxa"/>
        <w:tblLayout w:type="fixed"/>
        <w:tblCellMar>
          <w:top w:w="28" w:type="dxa"/>
          <w:left w:w="28" w:type="dxa"/>
          <w:bottom w:w="28" w:type="dxa"/>
          <w:right w:w="28" w:type="dxa"/>
        </w:tblCellMar>
      </w:tblPr>
      <w:tblGrid>
        <w:gridCol w:w="1031"/>
        <w:gridCol w:w="906"/>
        <w:gridCol w:w="913"/>
        <w:gridCol w:w="196"/>
        <w:gridCol w:w="466"/>
        <w:gridCol w:w="109"/>
        <w:gridCol w:w="109"/>
        <w:gridCol w:w="109"/>
        <w:gridCol w:w="109"/>
        <w:gridCol w:w="196"/>
        <w:gridCol w:w="46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Revenues (in millions):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Interest/fees earned on client balances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bl>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Payments</w:t>
      </w:r>
    </w:p>
    <w:tbl>
      <w:tblPr>
        <w:tblW w:w="10090" w:type="dxa"/>
        <w:jc w:val="left"/>
        <w:tblInd w:w="0" w:type="dxa"/>
        <w:tblLayout w:type="fixed"/>
        <w:tblCellMar>
          <w:top w:w="28" w:type="dxa"/>
          <w:left w:w="28" w:type="dxa"/>
          <w:bottom w:w="28" w:type="dxa"/>
          <w:right w:w="28" w:type="dxa"/>
        </w:tblCellMar>
      </w:tblPr>
      <w:tblGrid>
        <w:gridCol w:w="1506"/>
        <w:gridCol w:w="1037"/>
        <w:gridCol w:w="1041"/>
        <w:gridCol w:w="196"/>
        <w:gridCol w:w="466"/>
        <w:gridCol w:w="109"/>
        <w:gridCol w:w="109"/>
        <w:gridCol w:w="109"/>
        <w:gridCol w:w="109"/>
        <w:gridCol w:w="196"/>
        <w:gridCol w:w="466"/>
        <w:gridCol w:w="109"/>
        <w:gridCol w:w="109"/>
        <w:gridCol w:w="109"/>
        <w:gridCol w:w="109"/>
        <w:gridCol w:w="290"/>
        <w:gridCol w:w="290"/>
        <w:gridCol w:w="291"/>
        <w:gridCol w:w="109"/>
        <w:gridCol w:w="109"/>
        <w:gridCol w:w="109"/>
        <w:gridCol w:w="196"/>
        <w:gridCol w:w="466"/>
        <w:gridCol w:w="109"/>
        <w:gridCol w:w="109"/>
        <w:gridCol w:w="109"/>
        <w:gridCol w:w="109"/>
        <w:gridCol w:w="196"/>
        <w:gridCol w:w="466"/>
        <w:gridCol w:w="109"/>
        <w:gridCol w:w="109"/>
        <w:gridCol w:w="109"/>
        <w:gridCol w:w="109"/>
        <w:gridCol w:w="268"/>
        <w:gridCol w:w="268"/>
        <w:gridCol w:w="380"/>
      </w:tblGrid>
      <w:tr>
        <w:trPr/>
        <w:tc>
          <w:tcPr>
            <w:tcW w:w="150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account fees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non-variable direct expenses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 less allocation of overhead costs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r>
    </w:tbl>
    <w:tbl>
      <w:tblPr>
        <w:tblW w:w="9596" w:type="dxa"/>
        <w:jc w:val="center"/>
        <w:tblInd w:w="0" w:type="dxa"/>
        <w:tblLayout w:type="fixed"/>
        <w:tblCellMar>
          <w:top w:w="28" w:type="dxa"/>
          <w:left w:w="28" w:type="dxa"/>
          <w:bottom w:w="28" w:type="dxa"/>
          <w:right w:w="28" w:type="dxa"/>
        </w:tblCellMar>
      </w:tblPr>
      <w:tblGrid>
        <w:gridCol w:w="922"/>
        <w:gridCol w:w="811"/>
        <w:gridCol w:w="817"/>
        <w:gridCol w:w="196"/>
        <w:gridCol w:w="556"/>
        <w:gridCol w:w="109"/>
        <w:gridCol w:w="109"/>
        <w:gridCol w:w="109"/>
        <w:gridCol w:w="109"/>
        <w:gridCol w:w="196"/>
        <w:gridCol w:w="646"/>
        <w:gridCol w:w="109"/>
        <w:gridCol w:w="109"/>
        <w:gridCol w:w="109"/>
        <w:gridCol w:w="109"/>
        <w:gridCol w:w="290"/>
        <w:gridCol w:w="290"/>
        <w:gridCol w:w="291"/>
        <w:gridCol w:w="109"/>
        <w:gridCol w:w="109"/>
        <w:gridCol w:w="109"/>
        <w:gridCol w:w="196"/>
        <w:gridCol w:w="556"/>
        <w:gridCol w:w="109"/>
        <w:gridCol w:w="109"/>
        <w:gridCol w:w="109"/>
        <w:gridCol w:w="109"/>
        <w:gridCol w:w="196"/>
        <w:gridCol w:w="646"/>
        <w:gridCol w:w="109"/>
        <w:gridCol w:w="109"/>
        <w:gridCol w:w="109"/>
        <w:gridCol w:w="109"/>
        <w:gridCol w:w="268"/>
        <w:gridCol w:w="268"/>
        <w:gridCol w:w="380"/>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3"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Volumes and Other Select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RPM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bl>
    <w:tbl>
      <w:tblPr>
        <w:tblW w:w="9536" w:type="dxa"/>
        <w:jc w:val="center"/>
        <w:tblInd w:w="0" w:type="dxa"/>
        <w:tblLayout w:type="fixed"/>
        <w:tblCellMar>
          <w:top w:w="28" w:type="dxa"/>
          <w:left w:w="28" w:type="dxa"/>
          <w:bottom w:w="28" w:type="dxa"/>
          <w:right w:w="28" w:type="dxa"/>
        </w:tblCellMar>
      </w:tblPr>
      <w:tblGrid>
        <w:gridCol w:w="1031"/>
        <w:gridCol w:w="906"/>
        <w:gridCol w:w="913"/>
        <w:gridCol w:w="196"/>
        <w:gridCol w:w="466"/>
        <w:gridCol w:w="109"/>
        <w:gridCol w:w="109"/>
        <w:gridCol w:w="109"/>
        <w:gridCol w:w="109"/>
        <w:gridCol w:w="196"/>
        <w:gridCol w:w="46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Revenues (in millions):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Overhead Costs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incur overhead costs, including certain shared services such as information technology, accounting and treasury, credit and risk, legal and compliance, and human resources and other activities. The following table provides information regarding overhead costs and expenses. The allocation of overhead costs to operating segments includes costs associated with compliance, technology, and credit and risk costs. The share of allocated costs is based on resources consumed by the relevant businesses. In addition, the allocation of human resources and occupancy costs is principally based on employee costs within the relevant businesses. </w:t>
      </w:r>
    </w:p>
    <w:tbl>
      <w:tblPr>
        <w:tblW w:w="10205" w:type="dxa"/>
        <w:jc w:val="left"/>
        <w:tblInd w:w="0" w:type="dxa"/>
        <w:tblLayout w:type="fixed"/>
        <w:tblCellMar>
          <w:top w:w="28" w:type="dxa"/>
          <w:left w:w="28" w:type="dxa"/>
          <w:bottom w:w="28" w:type="dxa"/>
          <w:right w:w="28" w:type="dxa"/>
        </w:tblCellMar>
      </w:tblPr>
      <w:tblGrid>
        <w:gridCol w:w="1298"/>
        <w:gridCol w:w="1060"/>
        <w:gridCol w:w="1070"/>
        <w:gridCol w:w="196"/>
        <w:gridCol w:w="556"/>
        <w:gridCol w:w="109"/>
        <w:gridCol w:w="109"/>
        <w:gridCol w:w="109"/>
        <w:gridCol w:w="109"/>
        <w:gridCol w:w="196"/>
        <w:gridCol w:w="46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1"/>
      </w:tblGrid>
      <w:tr>
        <w:trPr/>
        <w:tc>
          <w:tcPr>
            <w:tcW w:w="129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3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 rental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190%</w:t>
            </w:r>
          </w:p>
        </w:tc>
      </w:tr>
      <w:tr>
        <w:trPr/>
        <w:tc>
          <w:tcPr>
            <w:tcW w:w="342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42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Overhead costs, before shared services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Shared services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Overhead costs, net of shared services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Overhead costs, net of shared services, net of allocation to operating segments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Balance Sheet Summary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below provides a summary of asset, liability and stockholders’ equity information for the periods indicated.</w:t>
      </w:r>
    </w:p>
    <w:tbl>
      <w:tblPr>
        <w:tblW w:w="10015" w:type="dxa"/>
        <w:jc w:val="left"/>
        <w:tblInd w:w="0" w:type="dxa"/>
        <w:tblLayout w:type="fixed"/>
        <w:tblCellMar>
          <w:top w:w="28" w:type="dxa"/>
          <w:left w:w="28" w:type="dxa"/>
          <w:bottom w:w="28" w:type="dxa"/>
          <w:right w:w="28" w:type="dxa"/>
        </w:tblCellMar>
      </w:tblPr>
      <w:tblGrid>
        <w:gridCol w:w="2478"/>
        <w:gridCol w:w="2174"/>
        <w:gridCol w:w="2188"/>
        <w:gridCol w:w="227"/>
        <w:gridCol w:w="906"/>
        <w:gridCol w:w="126"/>
        <w:gridCol w:w="109"/>
        <w:gridCol w:w="109"/>
        <w:gridCol w:w="109"/>
        <w:gridCol w:w="275"/>
        <w:gridCol w:w="1098"/>
        <w:gridCol w:w="216"/>
      </w:tblGrid>
      <w:tr>
        <w:trPr/>
        <w:tc>
          <w:tcPr>
            <w:tcW w:w="2478"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(in millions, except for share and per share amounts)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Summary asset information:</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securities and other assets segregated under federal and other regulations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5,271.0 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10,325.4 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with and receivables from broker-dealers, clearing organizations and counterparties, net</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clients, net and notes receivable, net</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at fair value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8,604.4 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commodities inventory, net</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right of use assets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intangible assets, net</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Summary liability and stockholders’ equity information:</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liabilities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clients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19,864.1 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clearing organizations and counterparties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lenders under loans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secured borrowings, net</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 at fair value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outstanding - shares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79,029,499 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78,279,953 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asset value per share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 xml:space="preserve">Conference Call &amp; Web Cast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conference call to discuss the Company’s financial results will be held tomorrow, Thursday, May 7, 2026 at 9:00 a.m. Eastern time. The call may also include discussion of Company developments, and forward-looking and other material information about business and financial matters. A live webcast of the conference call as well as additional information to review during the call will be made available in PDF form on-line on the Company’s corporate web site at https://register-conf.media-server.com/register/BIa70a21fbe6604d6d83b5411e96afc61d approximately ten minutes prior to the start time. Participants may preregister for the conference call here.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those who cannot access the live broadcast, a replay of the call will be available at https://www.stonex.com. </w:t>
      </w:r>
    </w:p>
    <w:p>
      <w:pPr>
        <w:pStyle w:val="TextBody"/>
        <w:bidi w:val="0"/>
        <w:spacing w:lineRule="auto" w:line="288" w:before="120" w:after="100"/>
        <w:jc w:val="left"/>
        <w:rPr>
          <w:rFonts w:ascii="Times New Roman;serif" w:hAnsi="Times New Roman;serif"/>
          <w:b/>
          <w:color w:val="000000"/>
          <w:sz w:val="20"/>
        </w:rPr>
      </w:pPr>
      <w:r>
        <w:rPr>
          <w:rFonts w:ascii="Times New Roman;serif" w:hAnsi="Times New Roman;serif"/>
          <w:b/>
          <w:color w:val="000000"/>
          <w:sz w:val="20"/>
        </w:rPr>
        <w:t xml:space="preserve">About StoneX Group Inc. </w:t>
      </w:r>
    </w:p>
    <w:p>
      <w:pPr>
        <w:pStyle w:val="TextBody"/>
        <w:bidi w:val="0"/>
        <w:spacing w:lineRule="auto" w:line="276"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StoneX Group Inc., through its subsidiaries, operates a global financial services network that connects companies, organizations, traders and investors to the global market ecosystem through a unique blend of digital platforms, end-to-end clearing and execution services, high touch service and deep expertise. The Company strives to be the one trusted partner to its clients, providing its network, product and services to allow them to pursue trading opportunities, manage their market risks, make investments and improve their business performance. A Fortune-500 company headquartered in New York City and listed on the Nasdaq Global Select Market (NASDAQ:SNEX), StoneX Group Inc. and its more than 5,400 employees serve more than 80,000 commercial, institutional, and payments clients, and more than 400,000 retail accounts, from more than 80 offices spread across six continents. Further information on the Company is available at www.stonex.com. </w:t>
      </w:r>
    </w:p>
    <w:p>
      <w:pPr>
        <w:pStyle w:val="TextBody"/>
        <w:bidi w:val="0"/>
        <w:spacing w:lineRule="auto" w:line="288" w:before="120" w:after="100"/>
        <w:jc w:val="left"/>
        <w:rPr>
          <w:rFonts w:ascii="Times New Roman;serif" w:hAnsi="Times New Roman;serif"/>
          <w:b/>
          <w:color w:val="000000"/>
          <w:sz w:val="20"/>
        </w:rPr>
      </w:pPr>
      <w:r>
        <w:rPr>
          <w:rFonts w:ascii="Times New Roman;serif" w:hAnsi="Times New Roman;serif"/>
          <w:b/>
          <w:color w:val="000000"/>
          <w:sz w:val="20"/>
        </w:rPr>
        <w:t xml:space="preserve">Forward Looking Statements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forward-looking statements within the meaning of Section 27A of the Securities Act of 1933, as amended, and Section 21E of the Securities Exchange Act of 1934, as amended, such as those pertaining to the Company’s financial condition, results of operations, business strategy, financial needs of the Company, impact of the R.J. O’Brien transaction. All statements other than statements of current or historical fact contained in this press release are forward-looking statements. The words “believe,” “expect,” “anticipate,” “should,” “plan,” “will,” “may,” “could,” “intend,” “estimate,” “predict,” “potential,” “continue” or the negative of these terms and similar expressions, as they relate to StoneX Group Inc., are intended to identify forward-looking statements.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largely based on current expectations and projections about future events and financial trends that may affect the financial condition, results of operations, business strategy and financial needs of the Company. These forward-looking statements involve known and unknown risks and uncertainties, many of which are beyond the control of the Company, including statements about the benefits of our acquisition of RJO, including expected synergies and future financial and operating results, the plans, objectives, expectations and intentions of StoneX with respect to the acquisition, adverse changes in economic, political and market conditions, including losses from our market-making and trading activities arising from counterparty failures, global trade policies and tariffs, the loss of key personnel, the impact of increasing competition, the impact of changes in government regulation, uncertainty concerning fiscal or monetary policies established by central banks and financial regulators, the possibility of liabilities arising from violations of foreign, United States (“U.S.”) federal and U.S. state securities laws, the impact of changes in technology in the securities and commodities trading industries, and other risks discussed in our filings with the SEC, including Part I, Item 1A of our Annual Report on Form 10-K for the year ended September 30, 2025. Although we believe that our forward-looking statements are based upon reasonable assumptions regarding our business and future market conditions, there can be no assurances that our actual results will not differ materially from any results expressed or implied by our forward-looking statements. </w:t>
      </w:r>
    </w:p>
    <w:p>
      <w:pPr>
        <w:pStyle w:val="TextBody"/>
        <w:bidi w:val="0"/>
        <w:spacing w:lineRule="auto" w:line="288" w:before="100" w:after="18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speak only as of the date of this press release. StoneX Group Inc. undertakes no obligation to update or revise any forward-looking statements, whether as a result of new information, future events or otherwise, except as required by law. Accordingly, readers are cautioned not to place undue reliance on these forward-looking statements. For these statements, we claim the protection of the safe harbor for forward-looking statements contained in the Private Securities Litigation Reform Act of 1995.</w:t>
      </w: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00"/>
        <w:jc w:val="left"/>
        <w:rPr>
          <w:rFonts w:ascii="Times New Roman;serif" w:hAnsi="Times New Roman;serif"/>
          <w:b/>
          <w:color w:val="000000"/>
          <w:sz w:val="20"/>
        </w:rPr>
      </w:pPr>
      <w:r>
        <w:rPr>
          <w:rFonts w:ascii="Times New Roman;serif" w:hAnsi="Times New Roman;serif"/>
          <w:b/>
          <w:color w:val="000000"/>
          <w:sz w:val="20"/>
        </w:rPr>
        <w:t>Appendix - Non-GAAP Financial Information</w:t>
      </w:r>
    </w:p>
    <w:p>
      <w:pPr>
        <w:pStyle w:val="TextBody"/>
        <w:bidi w:val="0"/>
        <w:spacing w:lineRule="auto" w:line="288" w:before="120" w:after="180"/>
        <w:jc w:val="left"/>
        <w:rPr/>
      </w:pPr>
      <w:r>
        <w:rPr>
          <w:rFonts w:ascii="Times New Roman;serif" w:hAnsi="Times New Roman;serif"/>
          <w:b w:val="false"/>
          <w:color w:val="000000"/>
          <w:sz w:val="20"/>
        </w:rPr>
        <w:t>The following table reconciles net income to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and Adjusted EBITDA</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215"/>
        <w:gridCol w:w="1060"/>
        <w:gridCol w:w="1063"/>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1"/>
      </w:tblGrid>
      <w:tr>
        <w:trPr/>
        <w:tc>
          <w:tcPr>
            <w:tcW w:w="121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attributable to trading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losses (gains),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120" w:after="200"/>
              <w:jc w:val="left"/>
              <w:rPr/>
            </w:pPr>
            <w:r>
              <w:rPr>
                <w:rFonts w:ascii="Times New Roman;serif" w:hAnsi="Times New Roman;serif"/>
                <w:b w:val="false"/>
                <w:color w:val="000000"/>
                <w:sz w:val="10"/>
              </w:rPr>
              <w:t>(1)</w:t>
            </w:r>
            <w:r>
              <w:rPr>
                <w:rFonts w:ascii="Times New Roman;serif" w:hAnsi="Times New Roman;serif"/>
                <w:b w:val="false"/>
                <w:color w:val="000000"/>
                <w:sz w:val="16"/>
              </w:rPr>
              <w:t>EBITDA and Adjusted EBITDA are non-GAAP measures.</w:t>
            </w:r>
          </w:p>
        </w:tc>
      </w:tr>
    </w:tbl>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EBITDA, a non-GAAP measure used to measure operating performance, is defined as net income plus interest expense, depreciation and amortization, and income tax expense. Adjusted EBITDA represents EBITDA plus amortization of share-based compensation and less interest expense attributable to trading activities, including the credit facilities of our subsidiaries, gain on acquisitions, acquisition-related expenses, and gain on class action settlements.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 EBITDA-based measures described above is not a presentation made in accordance with GAAP and should not be considered as an alternative to net income or any other performance measures derived in accordance with GAAP as a measure of operating performance or to cash flows as a measure of liquidity. Additionally, each such measure is not intended to be a measure of free cash flows available for management’s discretionary use, as it does not consider certain cash requirements such as interest payments, tax payments and debt service requirements. Such measures have limitations as analytical tools, and you should not consider any of such measures in isolation or as substitutes for our results as reported under GAAP.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EBITDA-based measures may not be comparable to other similarly titled measures of other companies.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Company believes EBITDA is helpful in highlighting the business’s trends because EBITDA excludes the results of decisions that are outside the control of management and can differ significantly from company to company depending on long-term strategic decisions regarding capital structure, the tax jurisdictions in which companies operate and capital investments. In addition, EBITDA provides more comparability between the historical operating results that reflect purchase accounting and the new capital structure.</w:t>
      </w:r>
    </w:p>
    <w:p>
      <w:pPr>
        <w:pStyle w:val="TextBody"/>
        <w:bidi w:val="0"/>
        <w:spacing w:before="100" w:after="60"/>
        <w:jc w:val="left"/>
        <w:rPr/>
      </w:pPr>
      <w:r>
        <w:rPr/>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StoneX Group Inc.</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Investor inquiries: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Kevin Murphy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(212) 403 - 7296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kevin.murphy@stonex.com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SNEX-G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60" w:after="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6347</Words>
  <Characters>32954</Characters>
  <CharactersWithSpaces>37795</CharactersWithSpaces>
  <Paragraphs>2710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