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345440</wp:posOffset>
            </wp:positionH>
            <wp:positionV relativeFrom="page">
              <wp:posOffset>791845</wp:posOffset>
            </wp:positionV>
            <wp:extent cx="686625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page">
              <wp:posOffset>345440</wp:posOffset>
            </wp:positionH>
            <wp:positionV relativeFrom="page">
              <wp:posOffset>817880</wp:posOffset>
            </wp:positionV>
            <wp:extent cx="68662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8255"/>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67"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3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4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9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4, 2026</w:t>
      </w:r>
    </w:p>
    <w:p>
      <w:pPr>
        <w:spacing w:after="0" w:line="8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_______________</w:t>
      </w:r>
    </w:p>
    <w:p>
      <w:pPr>
        <w:spacing w:after="0" w:line="6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StoneX Group Inc.</w:t>
      </w:r>
    </w:p>
    <w:p>
      <w:pPr>
        <w:spacing w:after="0" w:line="1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_______________</w:t>
      </w:r>
    </w:p>
    <w:p>
      <w:pPr>
        <w:sectPr>
          <w:pgSz w:w="11900" w:h="16838" w:orient="portrait"/>
          <w:cols w:equalWidth="0" w:num="1">
            <w:col w:w="11080"/>
          </w:cols>
          <w:pgMar w:left="320" w:top="1440" w:right="499" w:bottom="1440" w:gutter="0" w:footer="0" w:header="0"/>
        </w:sectPr>
      </w:pPr>
    </w:p>
    <w:p>
      <w:pPr>
        <w:spacing w:after="0" w:line="38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jc w:val="center"/>
        <w:ind w:right="1860"/>
        <w:spacing w:after="0"/>
        <w:rPr>
          <w:sz w:val="20"/>
          <w:szCs w:val="20"/>
          <w:color w:val="auto"/>
        </w:rPr>
      </w:pPr>
      <w:r>
        <w:rPr>
          <w:rFonts w:ascii="Times New Roman" w:cs="Times New Roman" w:eastAsia="Times New Roman" w:hAnsi="Times New Roman"/>
          <w:sz w:val="17"/>
          <w:szCs w:val="17"/>
          <w:b w:val="1"/>
          <w:bCs w:val="1"/>
          <w:color w:val="auto"/>
        </w:rPr>
        <w:t>000-23554</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59-2921318</w:t>
      </w:r>
    </w:p>
    <w:p>
      <w:pPr>
        <w:spacing w:after="0" w:line="42" w:lineRule="exact"/>
        <w:rPr>
          <w:sz w:val="24"/>
          <w:szCs w:val="24"/>
          <w:color w:val="auto"/>
        </w:rPr>
      </w:pPr>
    </w:p>
    <w:p>
      <w:pPr>
        <w:sectPr>
          <w:pgSz w:w="11900" w:h="16838" w:orient="portrait"/>
          <w:cols w:equalWidth="0" w:num="3">
            <w:col w:w="4600" w:space="720"/>
            <w:col w:w="2640" w:space="720"/>
            <w:col w:w="2400"/>
          </w:cols>
          <w:pgMar w:left="320" w:top="1440" w:right="499" w:bottom="1440" w:gutter="0" w:footer="0" w:header="0"/>
          <w:type w:val="continuous"/>
        </w:sectPr>
      </w:pPr>
    </w:p>
    <w:p>
      <w:pPr>
        <w:ind w:left="1400"/>
        <w:spacing w:after="0"/>
        <w:rPr>
          <w:sz w:val="20"/>
          <w:szCs w:val="20"/>
          <w:color w:val="auto"/>
        </w:rPr>
      </w:pPr>
      <w:r>
        <w:rPr>
          <w:rFonts w:ascii="Times New Roman" w:cs="Times New Roman" w:eastAsia="Times New Roman" w:hAnsi="Times New Roman"/>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Times New Roman" w:cs="Times New Roman" w:eastAsia="Times New Roman" w:hAnsi="Times New Roman"/>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(IRS Employer ID No.)</w:t>
      </w:r>
    </w:p>
    <w:p>
      <w:pPr>
        <w:spacing w:after="0" w:line="158" w:lineRule="exact"/>
        <w:rPr>
          <w:sz w:val="24"/>
          <w:szCs w:val="24"/>
          <w:color w:val="auto"/>
        </w:rPr>
      </w:pPr>
    </w:p>
    <w:p>
      <w:pPr>
        <w:sectPr>
          <w:pgSz w:w="11900" w:h="16838" w:orient="portrait"/>
          <w:cols w:equalWidth="0" w:num="3">
            <w:col w:w="4060" w:space="720"/>
            <w:col w:w="2820" w:space="720"/>
            <w:col w:w="2760"/>
          </w:cols>
          <w:pgMar w:left="320" w:top="1440" w:right="499" w:bottom="1440" w:gutter="0" w:footer="0" w:header="0"/>
          <w:type w:val="continuous"/>
        </w:sect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230 Park Ave, 10th Floor</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New York, NY 10169</w:t>
      </w:r>
    </w:p>
    <w:p>
      <w:pPr>
        <w:spacing w:after="0" w:line="7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 including Zip Code)</w:t>
      </w:r>
    </w:p>
    <w:p>
      <w:pPr>
        <w:spacing w:after="0" w:line="9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(212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485-3500</w:t>
      </w:r>
    </w:p>
    <w:p>
      <w:pPr>
        <w:spacing w:after="0" w:line="11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p>
      <w:pPr>
        <w:spacing w:after="0" w:line="80"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_______________</w:t>
      </w:r>
    </w:p>
    <w:p>
      <w:pPr>
        <w:sectPr>
          <w:pgSz w:w="11900" w:h="16838" w:orient="portrait"/>
          <w:cols w:equalWidth="0" w:num="1">
            <w:col w:w="11080"/>
          </w:cols>
          <w:pgMar w:left="320" w:top="1440" w:right="499" w:bottom="1440" w:gutter="0" w:footer="0" w:header="0"/>
          <w:type w:val="continuous"/>
        </w:sectPr>
      </w:pPr>
    </w:p>
    <w:p>
      <w:pPr>
        <w:spacing w:after="0" w:line="81" w:lineRule="exact"/>
        <w:rPr>
          <w:sz w:val="24"/>
          <w:szCs w:val="24"/>
          <w:color w:val="auto"/>
        </w:rPr>
      </w:pPr>
    </w:p>
    <w:p>
      <w:pPr>
        <w:jc w:val="center"/>
        <w:ind w:left="500" w:right="1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900" w:hanging="388"/>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20" w:type="dxa"/>
            <w:vAlign w:val="bottom"/>
          </w:tcPr>
          <w:p>
            <w:pPr>
              <w:spacing w:after="0"/>
              <w:rPr>
                <w:sz w:val="20"/>
                <w:szCs w:val="20"/>
                <w:color w:val="auto"/>
              </w:rPr>
            </w:pPr>
          </w:p>
        </w:tc>
      </w:tr>
      <w:tr>
        <w:trPr>
          <w:trHeight w:val="405"/>
        </w:trPr>
        <w:tc>
          <w:tcPr>
            <w:tcW w:w="4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00" w:type="dxa"/>
            <w:vAlign w:val="bottom"/>
          </w:tcPr>
          <w:p>
            <w:pPr>
              <w:spacing w:after="0"/>
              <w:rPr>
                <w:sz w:val="19"/>
                <w:szCs w:val="19"/>
                <w:color w:val="auto"/>
              </w:rPr>
            </w:pPr>
          </w:p>
        </w:tc>
        <w:tc>
          <w:tcPr>
            <w:tcW w:w="2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SNEX</w:t>
            </w:r>
          </w:p>
        </w:tc>
        <w:tc>
          <w:tcPr>
            <w:tcW w:w="100" w:type="dxa"/>
            <w:vAlign w:val="bottom"/>
          </w:tcPr>
          <w:p>
            <w:pPr>
              <w:spacing w:after="0"/>
              <w:rPr>
                <w:sz w:val="19"/>
                <w:szCs w:val="19"/>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949960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320040</wp:posOffset>
            </wp:positionV>
            <wp:extent cx="70377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77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0377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825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type w:val="continuous"/>
        </w:sectPr>
      </w:pPr>
    </w:p>
    <w:bookmarkStart w:id="1" w:name="page2"/>
    <w:bookmarkEnd w:id="1"/>
    <w:p>
      <w:pPr>
        <w:spacing w:after="0" w:line="1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0377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171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On February 4, 2026, the StoneX Group Inc. (the “Company”) issued a press release on the subject of the Company's results of operations and financial condition for the fiscal quarter ended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press release is attached hereto as Exhibit 99.1 and incorporated by reference herein.</w:t>
      </w:r>
    </w:p>
    <w:p>
      <w:pPr>
        <w:spacing w:after="0" w:line="10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including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5"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On February 3, 2026, the Company’s Board of Directors approved a three-for-two split of its common stock. The stock split will be effected as a stock dividend entitling each stockholder of record to receive one additional share of common stock for every two shares owned. Additional shares issued as a result of the stock dividend will be distributed after close of trading on March 20, 2026, to stockholders of record at the close of business on March 10, 2026. Cash will be distributed in lieu of fractional shares based on the opening price of a share of common stock on March 11, 2026. Trading is expected to begin on a stock split-adjusted basis at market open on March 23, 2026.</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No.</w:t>
      </w:r>
    </w:p>
    <w:p>
      <w:pPr>
        <w:spacing w:after="0" w:line="9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dated February 4, 2026.</w:t>
      </w:r>
    </w:p>
    <w:p>
      <w:pPr>
        <w:spacing w:after="0" w:line="104"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1341755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259715</wp:posOffset>
            </wp:positionH>
            <wp:positionV relativeFrom="page">
              <wp:posOffset>782955</wp:posOffset>
            </wp:positionV>
            <wp:extent cx="703770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7705" cy="17145"/>
                    </a:xfrm>
                    <a:prstGeom prst="rect">
                      <a:avLst/>
                    </a:prstGeom>
                    <a:noFill/>
                  </pic:spPr>
                </pic:pic>
              </a:graphicData>
            </a:graphic>
          </wp:anchor>
        </w:drawing>
        <w:t>Signature</w:t>
      </w:r>
    </w:p>
    <w:p>
      <w:pPr>
        <w:spacing w:after="0" w:line="10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1020" w:type="dxa"/>
        <w:tblCellMar>
          <w:top w:w="0" w:type="dxa"/>
          <w:left w:w="0" w:type="dxa"/>
          <w:bottom w:w="0" w:type="dxa"/>
          <w:right w:w="0" w:type="dxa"/>
        </w:tblCellMar>
      </w:tblPr>
      <w:tr>
        <w:trPr>
          <w:trHeight w:val="233"/>
        </w:trPr>
        <w:tc>
          <w:tcPr>
            <w:tcW w:w="4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StoneX Group Inc.</w:t>
            </w:r>
          </w:p>
        </w:tc>
      </w:tr>
      <w:tr>
        <w:trPr>
          <w:trHeight w:val="225"/>
        </w:trPr>
        <w:tc>
          <w:tcPr>
            <w:tcW w:w="4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238"/>
        </w:trPr>
        <w:tc>
          <w:tcPr>
            <w:tcW w:w="53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February 4, 2026</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 WILLIAM J. DUNAWAY</w:t>
            </w:r>
          </w:p>
        </w:tc>
      </w:tr>
      <w:tr>
        <w:trPr>
          <w:trHeight w:val="218"/>
        </w:trPr>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960" w:type="dxa"/>
            <w:vAlign w:val="bottom"/>
          </w:tcPr>
          <w:p>
            <w:pPr>
              <w:spacing w:after="0"/>
              <w:rPr>
                <w:sz w:val="18"/>
                <w:szCs w:val="18"/>
                <w:color w:val="auto"/>
              </w:rPr>
            </w:pPr>
          </w:p>
        </w:tc>
        <w:tc>
          <w:tcPr>
            <w:tcW w:w="4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William J. Dunaway</w:t>
            </w:r>
          </w:p>
        </w:tc>
      </w:tr>
      <w:tr>
        <w:trPr>
          <w:trHeight w:val="234"/>
        </w:trPr>
        <w:tc>
          <w:tcPr>
            <w:tcW w:w="4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bl>
    <w:p>
      <w:pPr>
        <w:sectPr>
          <w:pgSz w:w="11900" w:h="16838" w:orient="portrait"/>
          <w:cols w:equalWidth="0" w:num="1">
            <w:col w:w="11000"/>
          </w:cols>
          <w:pgMar w:left="320" w:top="1413" w:right="5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457325" cy="3429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3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StoneX Group Inc. Reports Fiscal 2026 First Quarter Financial Results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Record Quarterly Net Operating Revenues of $724.4 million, up 47%</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Record Quarterly Net Income of $139.0 million, Quarterly ROE of 22.5%</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Quarterly Diluted EPS of $2.50 per share</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Announces a Three-for-Two Stock Split</w:t>
      </w:r>
    </w:p>
    <w:p>
      <w:pPr>
        <w:spacing w:after="0" w:line="200" w:lineRule="exact"/>
        <w:rPr>
          <w:sz w:val="20"/>
          <w:szCs w:val="20"/>
          <w:color w:val="auto"/>
        </w:rPr>
      </w:pPr>
    </w:p>
    <w:p>
      <w:pPr>
        <w:spacing w:after="0" w:line="309"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New York, NY – February 4, 2026 </w:t>
      </w:r>
      <w:r>
        <w:rPr>
          <w:rFonts w:ascii="Times New Roman" w:cs="Times New Roman" w:eastAsia="Times New Roman" w:hAnsi="Times New Roman"/>
          <w:sz w:val="18"/>
          <w:szCs w:val="18"/>
          <w:color w:val="auto"/>
        </w:rPr>
        <w:t>– StoneX Group Inc. (the “Company”; NASDAQ: SNEX), a leading financial services franchise connecting clients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markets, today announced its financial results for the fiscal 2026 first quarter ended December 31, 2025.</w:t>
      </w:r>
    </w:p>
    <w:p>
      <w:pPr>
        <w:spacing w:after="0" w:line="3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Philip Smith, the Company’s Chief Executive Officer, stated, “We are very pleased to announce our results for the first fiscal quarter of the year, a quarter which marked another record, in terms of both net operating revenues and net income for StoneX. This record quarter was driven by strong performances in both our Commercial and Institutional segments, in particular our Global Metals and Securities businesses, as well as our first full quarter with the acquired RJO and Benchmark businesses.</w:t>
      </w:r>
    </w:p>
    <w:p>
      <w:pPr>
        <w:spacing w:after="0" w:line="208"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color w:val="auto"/>
        </w:rPr>
        <w:t>Our sole strategic objective continues to be building out a unique ecosystem, offering extensive depth and breadth of products and geographical reach to our global client base. Our ecosystem has allowed us to benefit from increased client demand and activity when markets are active, as we have seen in our first fiscal quarter of 2026. We believe our unwavering commitment to delivering exceptional client coverage and service will hold us in good stead, both today and in the future.” Mr. Smith added.</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StoneX Group Inc. Summary Financials</w:t>
      </w:r>
    </w:p>
    <w:p>
      <w:pPr>
        <w:spacing w:after="0" w:line="108" w:lineRule="exact"/>
        <w:rPr>
          <w:sz w:val="20"/>
          <w:szCs w:val="20"/>
          <w:color w:val="auto"/>
        </w:rPr>
      </w:pPr>
    </w:p>
    <w:p>
      <w:pPr>
        <w:jc w:val="both"/>
        <w:ind w:right="300"/>
        <w:spacing w:after="0" w:line="282" w:lineRule="auto"/>
        <w:rPr>
          <w:sz w:val="20"/>
          <w:szCs w:val="20"/>
          <w:color w:val="auto"/>
        </w:rPr>
      </w:pPr>
      <w:r>
        <w:rPr>
          <w:rFonts w:ascii="Times New Roman" w:cs="Times New Roman" w:eastAsia="Times New Roman" w:hAnsi="Times New Roman"/>
          <w:sz w:val="18"/>
          <w:szCs w:val="18"/>
          <w:color w:val="auto"/>
        </w:rPr>
        <w:t>Consolidated financial statements for the Company will be included in our Quarterly Report on Form 10-Q to be filed with the Securities and Exchange Commission (the “SEC”). Upon filing, the Quarterly Report on Form 10-Q will also be made available on the Company’s website at www.stonex.com.</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7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7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center"/>
              <w:ind w:right="49"/>
              <w:spacing w:after="0" w:line="12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0" w:type="dxa"/>
            <w:vAlign w:val="bottom"/>
          </w:tcPr>
          <w:p>
            <w:pPr>
              <w:spacing w:after="0"/>
              <w:rPr>
                <w:sz w:val="1"/>
                <w:szCs w:val="1"/>
                <w:color w:val="auto"/>
              </w:rPr>
            </w:pPr>
          </w:p>
        </w:tc>
      </w:tr>
      <w:tr>
        <w:trPr>
          <w:trHeight w:val="183"/>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(Unaudited) (in millions, except share and per share amounts)</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8"/>
              </w:rPr>
              <w:t>Change</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37,689.1</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27,051.1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378.5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308.9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305.0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149.3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581.2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378.2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39,029.9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27,935.3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37,591.7</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26,991.0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1,438.2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944.3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86.5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93.2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110%</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306.2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Interest expense on corporate funding</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724.4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492.1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215.9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133.3</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508.5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358.8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Professional fees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Selling and marketing</w:t>
            </w:r>
          </w:p>
        </w:tc>
        <w:tc>
          <w:tcPr>
            <w:tcW w:w="2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11.8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Communications</w:t>
            </w:r>
          </w:p>
        </w:tc>
        <w:tc>
          <w:tcPr>
            <w:tcW w:w="2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89"/>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26.9</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fixed compensation and other expenses</w:t>
            </w:r>
          </w:p>
        </w:tc>
        <w:tc>
          <w:tcPr>
            <w:tcW w:w="2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323.2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247.6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(losses) gains, net</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tax</w:t>
            </w:r>
          </w:p>
        </w:tc>
        <w:tc>
          <w:tcPr>
            <w:tcW w:w="200" w:type="dxa"/>
            <w:vAlign w:val="bottom"/>
          </w:tcPr>
          <w:p>
            <w:pPr>
              <w:spacing w:after="0"/>
              <w:rPr>
                <w:sz w:val="16"/>
                <w:szCs w:val="16"/>
                <w:color w:val="auto"/>
              </w:rPr>
            </w:pP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184.9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116.9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Income tax expense</w:t>
            </w: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45.9</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139.0</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85.1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2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4"/>
                <w:szCs w:val="14"/>
                <w:color w:val="auto"/>
              </w:rPr>
              <w:t>Earnings per share:</w:t>
            </w:r>
            <w:r>
              <w:rPr>
                <w:rFonts w:ascii="Times New Roman" w:cs="Times New Roman" w:eastAsia="Times New Roman" w:hAnsi="Times New Roman"/>
                <w:sz w:val="18"/>
                <w:szCs w:val="18"/>
                <w:color w:val="auto"/>
                <w:vertAlign w:val="superscript"/>
              </w:rPr>
              <w:t>(1)</w:t>
            </w: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line="189" w:lineRule="exact"/>
              <w:rPr>
                <w:sz w:val="20"/>
                <w:szCs w:val="20"/>
                <w:color w:val="auto"/>
              </w:rPr>
            </w:pPr>
            <w:r>
              <w:rPr>
                <w:rFonts w:ascii="Times New Roman" w:cs="Times New Roman" w:eastAsia="Times New Roman" w:hAnsi="Times New Roman"/>
                <w:sz w:val="14"/>
                <w:szCs w:val="14"/>
                <w:color w:val="auto"/>
              </w:rPr>
              <w:t>Weighted-average number of common shares outstanding:</w:t>
            </w:r>
            <w:r>
              <w:rPr>
                <w:rFonts w:ascii="Times New Roman" w:cs="Times New Roman" w:eastAsia="Times New Roman" w:hAnsi="Times New Roman"/>
                <w:sz w:val="18"/>
                <w:szCs w:val="18"/>
                <w:color w:val="auto"/>
                <w:vertAlign w:val="superscript"/>
              </w:rPr>
              <w:t>(1)</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77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7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rPr>
              <w:t>50,569,386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rPr>
              <w:t>46,464,063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right="69"/>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9"/>
              <w:spacing w:after="0"/>
              <w:rPr>
                <w:sz w:val="20"/>
                <w:szCs w:val="20"/>
                <w:color w:val="auto"/>
              </w:rPr>
            </w:pPr>
            <w:r>
              <w:rPr>
                <w:rFonts w:ascii="Times New Roman" w:cs="Times New Roman" w:eastAsia="Times New Roman" w:hAnsi="Times New Roman"/>
                <w:sz w:val="14"/>
                <w:szCs w:val="14"/>
                <w:color w:val="auto"/>
              </w:rPr>
              <w:t>53,654,586</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48,667,158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Return on equity (“ROE”)</w:t>
            </w:r>
            <w:r>
              <w:rPr>
                <w:rFonts w:ascii="Times New Roman" w:cs="Times New Roman" w:eastAsia="Times New Roman" w:hAnsi="Times New Roman"/>
                <w:sz w:val="18"/>
                <w:szCs w:val="18"/>
                <w:color w:val="auto"/>
                <w:vertAlign w:val="superscript"/>
              </w:rPr>
              <w:t>(2)</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ROE on tangible book value</w:t>
            </w:r>
            <w:r>
              <w:rPr>
                <w:rFonts w:ascii="Times New Roman" w:cs="Times New Roman" w:eastAsia="Times New Roman" w:hAnsi="Times New Roman"/>
                <w:sz w:val="18"/>
                <w:szCs w:val="18"/>
                <w:color w:val="auto"/>
                <w:vertAlign w:val="superscript"/>
              </w:rPr>
              <w:t>(2)</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n/m = not meaningful to present as a percentage</w:t>
      </w:r>
    </w:p>
    <w:p>
      <w:pPr>
        <w:spacing w:after="0" w:line="152" w:lineRule="exact"/>
        <w:rPr>
          <w:sz w:val="20"/>
          <w:szCs w:val="20"/>
          <w:color w:val="auto"/>
        </w:rPr>
      </w:pPr>
    </w:p>
    <w:p>
      <w:pPr>
        <w:ind w:left="440" w:right="400" w:hanging="414"/>
        <w:spacing w:after="0" w:line="251" w:lineRule="auto"/>
        <w:tabs>
          <w:tab w:leader="none" w:pos="4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March 21, 2025, the Company effected a three-for-two stock dividend to stockholders of record as of March 11, 2025. The stock split increased the number of shares of common stock outstanding. All share and per share amounts have been retroactively adjusted for the stock split.</w:t>
      </w:r>
    </w:p>
    <w:p>
      <w:pPr>
        <w:ind w:left="440" w:right="400" w:hanging="414"/>
        <w:spacing w:after="0" w:line="261" w:lineRule="auto"/>
        <w:tabs>
          <w:tab w:leader="none" w:pos="4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calculates ROE on stated book value based on net income divided by the average stockholders’ equity, calculated based on average monthly total stockholders’ equity amounts. For the calculation of ROE on tangible book value, the amount of goodwill and intangibles, net is excluded from stockholders’ equity.</w:t>
      </w:r>
    </w:p>
    <w:p>
      <w:pPr>
        <w:sectPr>
          <w:pgSz w:w="11900" w:h="16838" w:orient="portrait"/>
          <w:cols w:equalWidth="0" w:num="1">
            <w:col w:w="11240"/>
          </w:cols>
          <w:pgMar w:left="320" w:top="106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following table presents our consolidated operating revenues by segment for the periods indicated.</w:t>
      </w:r>
    </w:p>
    <w:p>
      <w:pPr>
        <w:spacing w:after="0" w:line="43"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operating revenues represented by:</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427.4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Institutional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Self-Directed/Retail</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0"/>
        </w:trPr>
        <w:tc>
          <w:tcPr>
            <w:tcW w:w="7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Payments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7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Corporate</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c>
          <w:tcPr>
            <w:tcW w:w="0" w:type="dxa"/>
            <w:vAlign w:val="bottom"/>
          </w:tcPr>
          <w:p>
            <w:pPr>
              <w:spacing w:after="0"/>
              <w:rPr>
                <w:sz w:val="1"/>
                <w:szCs w:val="1"/>
                <w:color w:val="auto"/>
              </w:rPr>
            </w:pPr>
          </w:p>
        </w:tc>
      </w:tr>
      <w:tr>
        <w:trPr>
          <w:trHeight w:val="203"/>
        </w:trPr>
        <w:tc>
          <w:tcPr>
            <w:tcW w:w="7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Eliminations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1,438.2</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944.3</w:t>
            </w:r>
          </w:p>
        </w:tc>
        <w:tc>
          <w:tcPr>
            <w:tcW w:w="12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consolidated income by segment for the periods indicated.</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4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Segment income represented by:</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0" w:type="dxa"/>
            <w:vAlign w:val="bottom"/>
          </w:tcPr>
          <w:p>
            <w:pPr>
              <w:spacing w:after="0"/>
              <w:rPr>
                <w:sz w:val="16"/>
                <w:szCs w:val="16"/>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Commercial</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0"/>
        </w:trPr>
        <w:tc>
          <w:tcPr>
            <w:tcW w:w="20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Institutional</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5"/>
        </w:trPr>
        <w:tc>
          <w:tcPr>
            <w:tcW w:w="200" w:type="dxa"/>
            <w:vAlign w:val="bottom"/>
          </w:tcPr>
          <w:p>
            <w:pPr>
              <w:spacing w:after="0"/>
              <w:rPr>
                <w:sz w:val="16"/>
                <w:szCs w:val="16"/>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Self-Directed/Retail</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203"/>
        </w:trPr>
        <w:tc>
          <w:tcPr>
            <w:tcW w:w="200" w:type="dxa"/>
            <w:vAlign w:val="bottom"/>
            <w:shd w:val="clear" w:color="auto" w:fill="CCEEFF"/>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Payments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03"/>
        </w:trPr>
        <w:tc>
          <w:tcPr>
            <w:tcW w:w="7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segment income</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0"/>
        </w:trPr>
        <w:tc>
          <w:tcPr>
            <w:tcW w:w="200" w:type="dxa"/>
            <w:vAlign w:val="bottom"/>
            <w:tcBorders>
              <w:bottom w:val="single" w:sz="8" w:color="CCEEFF"/>
            </w:tcBorders>
          </w:tcPr>
          <w:p>
            <w:pPr>
              <w:spacing w:after="0" w:line="20" w:lineRule="exact"/>
              <w:rPr>
                <w:sz w:val="1"/>
                <w:szCs w:val="1"/>
                <w:color w:val="auto"/>
              </w:rPr>
            </w:pPr>
          </w:p>
        </w:tc>
        <w:tc>
          <w:tcPr>
            <w:tcW w:w="7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Reconciliation of segment income to income before tax:</w:t>
            </w: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271.3</w:t>
            </w:r>
          </w:p>
        </w:tc>
        <w:tc>
          <w:tcPr>
            <w:tcW w:w="1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210"/>
        </w:trPr>
        <w:tc>
          <w:tcPr>
            <w:tcW w:w="200" w:type="dxa"/>
            <w:vAlign w:val="bottom"/>
            <w:shd w:val="clear" w:color="auto" w:fill="CCEEFF"/>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 xml:space="preserve">Net operating loss within Corporate </w:t>
            </w:r>
            <w:r>
              <w:rPr>
                <w:rFonts w:ascii="Times New Roman" w:cs="Times New Roman" w:eastAsia="Times New Roman" w:hAnsi="Times New Roman"/>
                <w:sz w:val="9"/>
                <w:szCs w:val="9"/>
                <w:color w:val="auto"/>
              </w:rPr>
              <w:t>(1)</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96"/>
        </w:trPr>
        <w:tc>
          <w:tcPr>
            <w:tcW w:w="200" w:type="dxa"/>
            <w:vAlign w:val="bottom"/>
            <w:tcBorders>
              <w:bottom w:val="single" w:sz="8" w:color="CCEEFF"/>
            </w:tcBorders>
          </w:tcPr>
          <w:p>
            <w:pPr>
              <w:spacing w:after="0"/>
              <w:rPr>
                <w:sz w:val="17"/>
                <w:szCs w:val="17"/>
                <w:color w:val="auto"/>
              </w:rPr>
            </w:pPr>
          </w:p>
        </w:tc>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Overhead costs, net of shared services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28"/>
        </w:trPr>
        <w:tc>
          <w:tcPr>
            <w:tcW w:w="78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Income before tax</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184.9</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1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20"/>
        </w:trPr>
        <w:tc>
          <w:tcPr>
            <w:tcW w:w="2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w w:val="97"/>
              </w:rPr>
              <w:t>(1)</w:t>
            </w:r>
          </w:p>
        </w:tc>
        <w:tc>
          <w:tcPr>
            <w:tcW w:w="76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Includes interest expense on corporate funding.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0" w:type="dxa"/>
            <w:vAlign w:val="bottom"/>
            <w:vMerge w:val="continue"/>
          </w:tcPr>
          <w:p>
            <w:pPr>
              <w:spacing w:after="0"/>
              <w:rPr>
                <w:sz w:val="23"/>
                <w:szCs w:val="23"/>
                <w:color w:val="auto"/>
              </w:rPr>
            </w:pPr>
          </w:p>
        </w:tc>
        <w:tc>
          <w:tcPr>
            <w:tcW w:w="7600" w:type="dxa"/>
            <w:vAlign w:val="bottom"/>
            <w:vMerge w:val="continue"/>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985"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Operating Metrics</w:t>
      </w:r>
    </w:p>
    <w:p>
      <w:pPr>
        <w:spacing w:after="0" w:line="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tables below present operating revenues disaggregated across the key products we provide to our clients and select operating data and metrics used by management in evaluating our performance,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1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7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95"/>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269.1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111.8</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141%</w:t>
            </w:r>
          </w:p>
        </w:tc>
      </w:tr>
      <w:tr>
        <w:trPr>
          <w:trHeight w:val="21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Over-the-counter (“OTC”) derivatives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63.1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w:t>
            </w:r>
          </w:p>
        </w:tc>
      </w:tr>
      <w:tr>
        <w:trPr>
          <w:trHeight w:val="195"/>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575.9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r>
      <w:tr>
        <w:trPr>
          <w:trHeight w:val="21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FX/Contracts for difference (“CFD”) contracts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r>
      <w:tr>
        <w:trPr>
          <w:trHeight w:val="195"/>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w:t>
            </w: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21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69%</w:t>
            </w:r>
          </w:p>
        </w:tc>
      </w:tr>
      <w:tr>
        <w:trPr>
          <w:trHeight w:val="195"/>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173.7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107.6</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w:t>
            </w:r>
          </w:p>
        </w:tc>
      </w:tr>
      <w:tr>
        <w:trPr>
          <w:trHeight w:val="21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w:t>
            </w:r>
          </w:p>
        </w:tc>
      </w:tr>
      <w:tr>
        <w:trPr>
          <w:trHeight w:val="195"/>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Corporate</w:t>
            </w:r>
          </w:p>
        </w:tc>
        <w:tc>
          <w:tcPr>
            <w:tcW w:w="26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9%</w:t>
            </w:r>
          </w:p>
        </w:tc>
      </w:tr>
      <w:tr>
        <w:trPr>
          <w:trHeight w:val="21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Eliminations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w:t>
            </w:r>
          </w:p>
        </w:tc>
      </w:tr>
      <w:tr>
        <w:trPr>
          <w:trHeight w:val="189"/>
        </w:trPr>
        <w:tc>
          <w:tcPr>
            <w:tcW w:w="786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1,438.2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944.3</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52%</w:t>
            </w: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3"/>
        </w:trPr>
        <w:tc>
          <w:tcPr>
            <w:tcW w:w="786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Listed derivatives (contracts, 000’s)</w:t>
            </w:r>
            <w:r>
              <w:rPr>
                <w:rFonts w:ascii="Times New Roman" w:cs="Times New Roman" w:eastAsia="Times New Roman" w:hAnsi="Times New Roman"/>
                <w:sz w:val="18"/>
                <w:szCs w:val="18"/>
                <w:color w:val="auto"/>
                <w:vertAlign w:val="superscript"/>
              </w:rPr>
              <w:t>(2)</w:t>
            </w:r>
          </w:p>
        </w:tc>
        <w:tc>
          <w:tcPr>
            <w:tcW w:w="260" w:type="dxa"/>
            <w:vAlign w:val="bottom"/>
          </w:tcPr>
          <w:p>
            <w:pPr>
              <w:spacing w:after="0"/>
              <w:rPr>
                <w:sz w:val="17"/>
                <w:szCs w:val="17"/>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84,120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53,180</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58%</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4"/>
                <w:szCs w:val="14"/>
                <w:color w:val="auto"/>
              </w:rPr>
              <w:t>Listed derivatives, average rate per contract (“RPC”)</w:t>
            </w:r>
            <w:r>
              <w:rPr>
                <w:rFonts w:ascii="Times New Roman" w:cs="Times New Roman" w:eastAsia="Times New Roman" w:hAnsi="Times New Roman"/>
                <w:sz w:val="18"/>
                <w:szCs w:val="18"/>
                <w:color w:val="auto"/>
                <w:vertAlign w:val="superscript"/>
              </w:rPr>
              <w:t>(3)</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r>
      <w:tr>
        <w:trPr>
          <w:trHeight w:val="203"/>
        </w:trPr>
        <w:tc>
          <w:tcPr>
            <w:tcW w:w="786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Average client equity - listed derivatives (millions)</w:t>
            </w:r>
            <w:r>
              <w:rPr>
                <w:rFonts w:ascii="Times New Roman" w:cs="Times New Roman" w:eastAsia="Times New Roman" w:hAnsi="Times New Roman"/>
                <w:sz w:val="18"/>
                <w:szCs w:val="18"/>
                <w:color w:val="auto"/>
                <w:vertAlign w:val="superscript"/>
              </w:rPr>
              <w:t>(2)</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13,244</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6,620</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20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 (contracts, 000’s)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1,007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r>
      <w:tr>
        <w:trPr>
          <w:trHeight w:val="195"/>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OTC derivatives, average RPC</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63.55</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r>
      <w:tr>
        <w:trPr>
          <w:trHeight w:val="21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average daily volume (“ADV”) (millions)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10,615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r>
      <w:tr>
        <w:trPr>
          <w:trHeight w:val="203"/>
        </w:trPr>
        <w:tc>
          <w:tcPr>
            <w:tcW w:w="7860" w:type="dxa"/>
            <w:vAlign w:val="bottom"/>
          </w:tcPr>
          <w:p>
            <w:pPr>
              <w:ind w:left="220"/>
              <w:spacing w:after="0" w:line="202" w:lineRule="exact"/>
              <w:rPr>
                <w:sz w:val="20"/>
                <w:szCs w:val="20"/>
                <w:color w:val="auto"/>
              </w:rPr>
            </w:pPr>
            <w:r>
              <w:rPr>
                <w:rFonts w:ascii="Times New Roman" w:cs="Times New Roman" w:eastAsia="Times New Roman" w:hAnsi="Times New Roman"/>
                <w:sz w:val="14"/>
                <w:szCs w:val="14"/>
                <w:color w:val="auto"/>
              </w:rPr>
              <w:t>Securities rate per million (“RPM”)</w:t>
            </w:r>
            <w:r>
              <w:rPr>
                <w:rFonts w:ascii="Times New Roman" w:cs="Times New Roman" w:eastAsia="Times New Roman" w:hAnsi="Times New Roman"/>
                <w:sz w:val="18"/>
                <w:szCs w:val="18"/>
                <w:color w:val="auto"/>
                <w:vertAlign w:val="superscript"/>
              </w:rPr>
              <w:t>(4)</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7"/>
                <w:szCs w:val="17"/>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r>
      <w:tr>
        <w:trPr>
          <w:trHeight w:val="20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Average money market/FDIC sweep client balances (millions)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1,259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r>
      <w:tr>
        <w:trPr>
          <w:trHeight w:val="195"/>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FX/CFD contracts ADV (millions)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11,253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11,685</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21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 RPM</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w:t>
            </w:r>
          </w:p>
        </w:tc>
      </w:tr>
      <w:tr>
        <w:trPr>
          <w:trHeight w:val="195"/>
        </w:trPr>
        <w:tc>
          <w:tcPr>
            <w:tcW w:w="7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 ADV (millions)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Payments RPM</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9,377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w:t>
            </w:r>
          </w:p>
        </w:tc>
      </w:tr>
      <w:tr>
        <w:trPr>
          <w:trHeight w:val="216"/>
        </w:trPr>
        <w:tc>
          <w:tcPr>
            <w:tcW w:w="7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Times New Roman" w:cs="Times New Roman" w:eastAsia="Times New Roman" w:hAnsi="Times New Roman"/>
                <w:sz w:val="14"/>
                <w:szCs w:val="14"/>
                <w:color w:val="auto"/>
              </w:rPr>
              <w:t>Adjusted EBITDA (in millions)</w:t>
            </w:r>
            <w:r>
              <w:rPr>
                <w:rFonts w:ascii="Times New Roman" w:cs="Times New Roman" w:eastAsia="Times New Roman" w:hAnsi="Times New Roman"/>
                <w:sz w:val="18"/>
                <w:szCs w:val="18"/>
                <w:color w:val="auto"/>
                <w:vertAlign w:val="superscript"/>
              </w:rPr>
              <w:t>(5)</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250.9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64%</w:t>
            </w:r>
          </w:p>
        </w:tc>
      </w:tr>
    </w:tbl>
    <w:p>
      <w:pPr>
        <w:spacing w:after="0" w:line="112" w:lineRule="exact"/>
        <w:rPr>
          <w:sz w:val="20"/>
          <w:szCs w:val="20"/>
          <w:color w:val="auto"/>
        </w:rPr>
      </w:pPr>
    </w:p>
    <w:p>
      <w:pPr>
        <w:ind w:left="440" w:right="420" w:hanging="414"/>
        <w:spacing w:after="0" w:line="241" w:lineRule="auto"/>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operating revenue primarily includes consulting, management and account fees related to prime services, investment banking and advisory services, as well as interest income associated with securities lending activities.</w:t>
      </w:r>
    </w:p>
    <w:p>
      <w:pPr>
        <w:spacing w:after="0" w:line="14" w:lineRule="exact"/>
        <w:rPr>
          <w:rFonts w:ascii="Times New Roman" w:cs="Times New Roman" w:eastAsia="Times New Roman" w:hAnsi="Times New Roman"/>
          <w:sz w:val="14"/>
          <w:szCs w:val="14"/>
          <w:color w:val="auto"/>
        </w:rPr>
      </w:pPr>
    </w:p>
    <w:p>
      <w:pPr>
        <w:ind w:left="440" w:right="360" w:hanging="414"/>
        <w:spacing w:after="0" w:line="241" w:lineRule="auto"/>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of RJO, effective July 31, 2025, contributed 30.9 million listed derivative contracts and $5.8 billion in average client equity for the three months ended December 31, 2025.</w:t>
      </w:r>
    </w:p>
    <w:p>
      <w:pPr>
        <w:spacing w:after="0" w:line="14" w:lineRule="exact"/>
        <w:rPr>
          <w:rFonts w:ascii="Times New Roman" w:cs="Times New Roman" w:eastAsia="Times New Roman" w:hAnsi="Times New Roman"/>
          <w:sz w:val="14"/>
          <w:szCs w:val="14"/>
          <w:color w:val="auto"/>
        </w:rPr>
      </w:pPr>
    </w:p>
    <w:p>
      <w:pPr>
        <w:ind w:left="440" w:right="540" w:hanging="414"/>
        <w:spacing w:after="0" w:line="241" w:lineRule="auto"/>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Give-up fee revenues, related to contract execution for clients of other FCMs, as well as cash and voice brokerage revenues are excluded from the calculation of listed derivatives, average rate per contract.</w:t>
      </w:r>
    </w:p>
    <w:p>
      <w:pPr>
        <w:spacing w:after="0" w:line="14" w:lineRule="exact"/>
        <w:rPr>
          <w:rFonts w:ascii="Times New Roman" w:cs="Times New Roman" w:eastAsia="Times New Roman" w:hAnsi="Times New Roman"/>
          <w:sz w:val="14"/>
          <w:szCs w:val="14"/>
          <w:color w:val="auto"/>
        </w:rPr>
      </w:pPr>
    </w:p>
    <w:p>
      <w:pPr>
        <w:ind w:left="440" w:right="100" w:hanging="414"/>
        <w:spacing w:after="0" w:line="241" w:lineRule="auto"/>
        <w:tabs>
          <w:tab w:leader="none" w:pos="4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associated with our fixed income activities is deducted from operating revenues in the calculation of Securities RPM while interest income related to securities lending is excluded.</w:t>
      </w:r>
    </w:p>
    <w:p>
      <w:pPr>
        <w:ind w:left="20"/>
        <w:spacing w:after="0" w:line="206" w:lineRule="auto"/>
        <w:rPr>
          <w:sz w:val="20"/>
          <w:szCs w:val="20"/>
          <w:color w:val="auto"/>
        </w:rPr>
      </w:pPr>
      <w:r>
        <w:rPr>
          <w:rFonts w:ascii="Times New Roman" w:cs="Times New Roman" w:eastAsia="Times New Roman" w:hAnsi="Times New Roman"/>
          <w:sz w:val="14"/>
          <w:szCs w:val="14"/>
          <w:color w:val="auto"/>
        </w:rPr>
        <w:t>(5)</w:t>
      </w:r>
    </w:p>
    <w:p>
      <w:pPr>
        <w:ind w:left="440"/>
        <w:spacing w:after="0"/>
        <w:rPr>
          <w:sz w:val="20"/>
          <w:szCs w:val="20"/>
          <w:color w:val="auto"/>
        </w:rPr>
      </w:pPr>
      <w:r>
        <w:rPr>
          <w:rFonts w:ascii="Times New Roman" w:cs="Times New Roman" w:eastAsia="Times New Roman" w:hAnsi="Times New Roman"/>
          <w:sz w:val="14"/>
          <w:szCs w:val="14"/>
          <w:color w:val="auto"/>
        </w:rPr>
        <w:t>Adjusted EBITDA is a non-GAAP measure. See Appendix - Non-GAAP Financial Information for further information.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expense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6"/>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 attributable to:</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8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Trading activities: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Institutional dealer in fixed income securities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0" w:type="dxa"/>
            <w:vAlign w:val="bottom"/>
          </w:tcPr>
          <w:p>
            <w:pPr>
              <w:spacing w:after="0"/>
              <w:rPr>
                <w:sz w:val="1"/>
                <w:szCs w:val="1"/>
                <w:color w:val="auto"/>
              </w:rPr>
            </w:pPr>
          </w:p>
        </w:tc>
      </w:tr>
      <w:tr>
        <w:trPr>
          <w:trHeight w:val="195"/>
        </w:trPr>
        <w:tc>
          <w:tcPr>
            <w:tcW w:w="780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Securities borrowing</w:t>
            </w:r>
          </w:p>
        </w:tc>
        <w:tc>
          <w:tcPr>
            <w:tcW w:w="240" w:type="dxa"/>
            <w:vAlign w:val="bottom"/>
          </w:tcPr>
          <w:p>
            <w:pPr>
              <w:spacing w:after="0"/>
              <w:rPr>
                <w:sz w:val="16"/>
                <w:szCs w:val="16"/>
                <w:color w:val="auto"/>
              </w:rPr>
            </w:pPr>
          </w:p>
        </w:tc>
        <w:tc>
          <w:tcPr>
            <w:tcW w:w="8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27 %</w:t>
            </w:r>
          </w:p>
        </w:tc>
        <w:tc>
          <w:tcPr>
            <w:tcW w:w="0" w:type="dxa"/>
            <w:vAlign w:val="bottom"/>
          </w:tcPr>
          <w:p>
            <w:pPr>
              <w:spacing w:after="0"/>
              <w:rPr>
                <w:sz w:val="1"/>
                <w:szCs w:val="1"/>
                <w:color w:val="auto"/>
              </w:rPr>
            </w:pPr>
          </w:p>
        </w:tc>
      </w:tr>
      <w:tr>
        <w:trPr>
          <w:trHeight w:val="210"/>
        </w:trPr>
        <w:tc>
          <w:tcPr>
            <w:tcW w:w="78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Client balances on deposit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Short-term financing facilities of subsidiaries and other direct interest of operating segments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461.7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0" w:type="dxa"/>
            <w:vAlign w:val="bottom"/>
          </w:tcPr>
          <w:p>
            <w:pPr>
              <w:spacing w:after="0"/>
              <w:rPr>
                <w:sz w:val="1"/>
                <w:szCs w:val="1"/>
                <w:color w:val="auto"/>
              </w:rPr>
            </w:pPr>
          </w:p>
        </w:tc>
      </w:tr>
      <w:tr>
        <w:trPr>
          <w:trHeight w:val="196"/>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Corporate funding</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0" w:type="dxa"/>
            <w:vAlign w:val="bottom"/>
          </w:tcPr>
          <w:p>
            <w:pPr>
              <w:spacing w:after="0"/>
              <w:rPr>
                <w:sz w:val="1"/>
                <w:szCs w:val="1"/>
                <w:color w:val="auto"/>
              </w:rPr>
            </w:pPr>
          </w:p>
        </w:tc>
      </w:tr>
      <w:tr>
        <w:trPr>
          <w:trHeight w:val="22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488.0</w:t>
            </w:r>
          </w:p>
        </w:tc>
        <w:tc>
          <w:tcPr>
            <w:tcW w:w="8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increase in interest expense attributable to fixed income securities and securities borrowing was principally due to the growth in the size of the security repo and securities lending businesses. The business activities of RJO added an incremental $26.7 million of interest expense, with $24.3 million attributable to client balances.</w:t>
      </w:r>
    </w:p>
    <w:p>
      <w:pPr>
        <w:sectPr>
          <w:pgSz w:w="11900" w:h="16838" w:orient="portrait"/>
          <w:cols w:equalWidth="0" w:num="1">
            <w:col w:w="11240"/>
          </w:cols>
          <w:pgMar w:left="320" w:top="995" w:right="339" w:bottom="1440" w:gutter="0" w:footer="0" w:header="0"/>
        </w:sectPr>
      </w:pPr>
    </w:p>
    <w:bookmarkStart w:id="7" w:name="page8"/>
    <w:bookmarkEnd w:id="7"/>
    <w:p>
      <w:pPr>
        <w:ind w:right="180"/>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attributable to corporate funding was principally due to the issuance of $625 million in aggregate principal amount of the Notes due 2032, which closed on July 8, 2025.</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table below presents a disaggregation of consolidated net operating revenues used by management in evaluating our performance, for the periods indicated: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354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770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7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Operating Revenues (in millions):</w:t>
            </w: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5"/>
        </w:trPr>
        <w:tc>
          <w:tcPr>
            <w:tcW w:w="7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7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118.3</w:t>
            </w:r>
          </w:p>
        </w:tc>
        <w:tc>
          <w:tcPr>
            <w:tcW w:w="120" w:type="dxa"/>
            <w:vAlign w:val="bottom"/>
          </w:tcPr>
          <w:p>
            <w:pPr>
              <w:spacing w:after="0"/>
              <w:rPr>
                <w:sz w:val="16"/>
                <w:szCs w:val="16"/>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137%</w:t>
            </w:r>
          </w:p>
        </w:tc>
      </w:tr>
      <w:tr>
        <w:trPr>
          <w:trHeight w:val="21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OTC derivatives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w:t>
            </w:r>
          </w:p>
        </w:tc>
      </w:tr>
      <w:tr>
        <w:trPr>
          <w:trHeight w:val="195"/>
        </w:trPr>
        <w:tc>
          <w:tcPr>
            <w:tcW w:w="7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7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157.5</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55%</w:t>
            </w:r>
          </w:p>
        </w:tc>
      </w:tr>
      <w:tr>
        <w:trPr>
          <w:trHeight w:val="21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r>
      <w:tr>
        <w:trPr>
          <w:trHeight w:val="195"/>
        </w:trPr>
        <w:tc>
          <w:tcPr>
            <w:tcW w:w="7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w:t>
            </w:r>
          </w:p>
        </w:tc>
        <w:tc>
          <w:tcPr>
            <w:tcW w:w="7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(5)%</w:t>
            </w:r>
          </w:p>
        </w:tc>
      </w:tr>
      <w:tr>
        <w:trPr>
          <w:trHeight w:val="21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contracts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135.4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76%</w:t>
            </w:r>
          </w:p>
        </w:tc>
      </w:tr>
      <w:tr>
        <w:trPr>
          <w:trHeight w:val="195"/>
        </w:trPr>
        <w:tc>
          <w:tcPr>
            <w:tcW w:w="7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net / fees earned on client balances</w:t>
            </w:r>
          </w:p>
        </w:tc>
        <w:tc>
          <w:tcPr>
            <w:tcW w:w="7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115.5</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77.4</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w:t>
            </w:r>
          </w:p>
        </w:tc>
      </w:tr>
      <w:tr>
        <w:trPr>
          <w:trHeight w:val="21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 xml:space="preserve">Other </w:t>
            </w:r>
            <w:r>
              <w:rPr>
                <w:rFonts w:ascii="Times New Roman" w:cs="Times New Roman" w:eastAsia="Times New Roman" w:hAnsi="Times New Roman"/>
                <w:sz w:val="18"/>
                <w:szCs w:val="18"/>
                <w:color w:val="auto"/>
                <w:vertAlign w:val="superscript"/>
              </w:rPr>
              <w:t>(1)</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112%</w:t>
            </w:r>
          </w:p>
        </w:tc>
      </w:tr>
      <w:tr>
        <w:trPr>
          <w:trHeight w:val="196"/>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Corporate</w:t>
            </w:r>
          </w:p>
        </w:tc>
        <w:tc>
          <w:tcPr>
            <w:tcW w:w="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2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49%</w:t>
            </w:r>
          </w:p>
        </w:tc>
      </w:tr>
      <w:tr>
        <w:trPr>
          <w:trHeight w:val="221"/>
        </w:trPr>
        <w:tc>
          <w:tcPr>
            <w:tcW w:w="77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724.4</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492.1</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left="440" w:right="120" w:hanging="414"/>
        <w:spacing w:after="0" w:line="212" w:lineRule="auto"/>
        <w:tabs>
          <w:tab w:leader="none" w:pos="44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Other net operating revenues primarily includes consulting, management and account fees related to prime services, investment banking and advisory services, as well as interest income, net of interest expense associated with securities lending activities.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Variable vs. Fixed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our variable expenses and non-variable expenses as a percentage of total non-interest expenses for the periods indicated.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2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1"/>
                <w:szCs w:val="11"/>
                <w:color w:val="auto"/>
              </w:rPr>
            </w:pPr>
          </w:p>
        </w:tc>
        <w:tc>
          <w:tcPr>
            <w:tcW w:w="68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2"/>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1"/>
                <w:szCs w:val="11"/>
                <w:color w:val="auto"/>
              </w:rPr>
            </w:pPr>
          </w:p>
        </w:tc>
        <w:tc>
          <w:tcPr>
            <w:tcW w:w="74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880" w:type="dxa"/>
            <w:vAlign w:val="bottom"/>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7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1"/>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215.9</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132.6</w:t>
            </w:r>
          </w:p>
        </w:tc>
        <w:tc>
          <w:tcPr>
            <w:tcW w:w="104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w:t>
            </w:r>
          </w:p>
        </w:tc>
        <w:tc>
          <w:tcPr>
            <w:tcW w:w="1040" w:type="dxa"/>
            <w:vAlign w:val="bottom"/>
            <w:gridSpan w:val="3"/>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9"/>
        </w:trPr>
        <w:tc>
          <w:tcPr>
            <w:tcW w:w="72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variable expenses</w:t>
            </w:r>
          </w:p>
        </w:tc>
        <w:tc>
          <w:tcPr>
            <w:tcW w:w="2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441.7</w:t>
            </w:r>
          </w:p>
        </w:tc>
        <w:tc>
          <w:tcPr>
            <w:tcW w:w="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100" w:type="dxa"/>
            <w:vAlign w:val="bottom"/>
          </w:tcPr>
          <w:p>
            <w:pPr>
              <w:spacing w:after="0"/>
              <w:rPr>
                <w:sz w:val="16"/>
                <w:szCs w:val="16"/>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140.0</w:t>
            </w:r>
          </w:p>
        </w:tc>
        <w:tc>
          <w:tcPr>
            <w:tcW w:w="1040" w:type="dxa"/>
            <w:vAlign w:val="bottom"/>
            <w:gridSpan w:val="3"/>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95"/>
        </w:trPr>
        <w:tc>
          <w:tcPr>
            <w:tcW w:w="7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fixed expenses</w:t>
            </w: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40" w:type="dxa"/>
            <w:vAlign w:val="bottom"/>
            <w:gridSpan w:val="3"/>
          </w:tcPr>
          <w:p>
            <w:pPr>
              <w:jc w:val="center"/>
              <w:ind w:left="108"/>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126.6</w:t>
            </w: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72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Total non-variable expenses</w:t>
            </w:r>
          </w:p>
        </w:tc>
        <w:tc>
          <w:tcPr>
            <w:tcW w:w="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323.2</w:t>
            </w:r>
          </w:p>
        </w:tc>
        <w:tc>
          <w:tcPr>
            <w:tcW w:w="6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247.6</w:t>
            </w:r>
          </w:p>
        </w:tc>
        <w:tc>
          <w:tcPr>
            <w:tcW w:w="100" w:type="dxa"/>
            <w:vAlign w:val="bottom"/>
            <w:tcBorders>
              <w:bottom w:val="single" w:sz="8" w:color="CCEEFF"/>
            </w:tcBorders>
          </w:tcPr>
          <w:p>
            <w:pPr>
              <w:spacing w:after="0"/>
              <w:rPr>
                <w:sz w:val="16"/>
                <w:szCs w:val="16"/>
                <w:color w:val="auto"/>
              </w:rPr>
            </w:pPr>
          </w:p>
        </w:tc>
        <w:tc>
          <w:tcPr>
            <w:tcW w:w="8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2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non-interest expenses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764.9</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511.7</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7"/>
              </w:rPr>
              <w:t>100%</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(Losses) Gains, net</w:t>
      </w:r>
    </w:p>
    <w:p>
      <w:pPr>
        <w:spacing w:after="0" w:line="121"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results of the three months ended December 31, 2025 include an equity investment loss of $0.4 million. The results of the three months ended December 31, 2024 included nonrecurring gains of $5.7 million resulting from proceeds received from class action settlements.</w:t>
      </w:r>
    </w:p>
    <w:p>
      <w:pPr>
        <w:sectPr>
          <w:pgSz w:w="11900" w:h="16838" w:orient="portrait"/>
          <w:cols w:equalWidth="0" w:num="1">
            <w:col w:w="11240"/>
          </w:cols>
          <w:pgMar w:left="320" w:top="103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 Results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business activities are managed through four operating segments, including Commercial, Institutional, Self-Directed/Retail and Payments.</w:t>
      </w:r>
    </w:p>
    <w:p>
      <w:pPr>
        <w:spacing w:after="0" w:line="6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present the financial performance, a disaggregation of operating revenues, select operating data and metrics, and a disaggregation of net operating revenue used by management in evaluating the performance of our segments, for the periods indicated.</w:t>
      </w:r>
    </w:p>
    <w:p>
      <w:pPr>
        <w:spacing w:after="0" w:line="5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During the three month period ended September 30, 2025, our acquisition of RJO triggered a reassessment of the financial information reviewed by management. We determined the acquired business activities of RJO were similar to our existing businesses, and the reassessment confirmed the current composition of the Company’s operating segments, except for one change resulting in the combination of all physical trading capabilities in precious metals being reported within the Commercial segment. Previously, the Self-Directed/Retail segment contained a portion of our precious metals activities. All segment information has been revised to reflect all precious metals business within the Commercial segment retroactive to October 1, 2024.</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on the performance of our segments will be included in our Quarterly Report on Form 10-Q to be filed with the SEC.</w:t>
      </w:r>
    </w:p>
    <w:p>
      <w:pPr>
        <w:sectPr>
          <w:pgSz w:w="11900" w:h="16838" w:orient="portrait"/>
          <w:cols w:equalWidth="0" w:num="1">
            <w:col w:w="11060"/>
          </w:cols>
          <w:pgMar w:left="320" w:top="981" w:right="5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Commercial</w:t>
      </w:r>
    </w:p>
    <w:p>
      <w:pPr>
        <w:spacing w:after="0" w:line="47"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37,689.1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27,051.1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98%</w:t>
            </w:r>
          </w:p>
        </w:tc>
        <w:tc>
          <w:tcPr>
            <w:tcW w:w="0" w:type="dxa"/>
            <w:vAlign w:val="bottom"/>
          </w:tcPr>
          <w:p>
            <w:pPr>
              <w:spacing w:after="0"/>
              <w:rPr>
                <w:sz w:val="1"/>
                <w:szCs w:val="1"/>
                <w:color w:val="auto"/>
              </w:rPr>
            </w:pPr>
          </w:p>
        </w:tc>
      </w:tr>
      <w:tr>
        <w:trPr>
          <w:trHeight w:val="195"/>
        </w:trPr>
        <w:tc>
          <w:tcPr>
            <w:tcW w:w="7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130%</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38,019.0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27,225.8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37,591.6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26,991.0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195"/>
        </w:trPr>
        <w:tc>
          <w:tcPr>
            <w:tcW w:w="7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03"/>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195"/>
        </w:trPr>
        <w:tc>
          <w:tcPr>
            <w:tcW w:w="76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2"/>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Non-variable direct expenses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9"/>
        </w:trPr>
        <w:tc>
          <w:tcPr>
            <w:tcW w:w="7600" w:type="dxa"/>
            <w:vAlign w:val="bottom"/>
          </w:tcPr>
          <w:p>
            <w:pPr>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75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7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Listed derivatives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133.9</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115%</w:t>
            </w:r>
          </w:p>
        </w:tc>
      </w:tr>
      <w:tr>
        <w:trPr>
          <w:trHeight w:val="21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OTC derivatives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w:t>
            </w:r>
          </w:p>
        </w:tc>
      </w:tr>
      <w:tr>
        <w:trPr>
          <w:trHeight w:val="195"/>
        </w:trPr>
        <w:tc>
          <w:tcPr>
            <w:tcW w:w="75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Physical contracts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69%</w:t>
            </w:r>
          </w:p>
        </w:tc>
      </w:tr>
      <w:tr>
        <w:trPr>
          <w:trHeight w:val="210"/>
        </w:trPr>
        <w:tc>
          <w:tcPr>
            <w:tcW w:w="75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w:t>
            </w:r>
          </w:p>
        </w:tc>
      </w:tr>
      <w:tr>
        <w:trPr>
          <w:trHeight w:val="196"/>
        </w:trPr>
        <w:tc>
          <w:tcPr>
            <w:tcW w:w="75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w:t>
            </w:r>
          </w:p>
        </w:tc>
      </w:tr>
      <w:tr>
        <w:trPr>
          <w:trHeight w:val="221"/>
        </w:trPr>
        <w:tc>
          <w:tcPr>
            <w:tcW w:w="75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234.8</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82%</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2"/>
        </w:trPr>
        <w:tc>
          <w:tcPr>
            <w:tcW w:w="7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03"/>
        </w:trPr>
        <w:tc>
          <w:tcPr>
            <w:tcW w:w="75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5"/>
        </w:trPr>
        <w:tc>
          <w:tcPr>
            <w:tcW w:w="7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Listed derivatives (contracts, 000’s)</w:t>
            </w:r>
            <w:r>
              <w:rPr>
                <w:rFonts w:ascii="Times New Roman" w:cs="Times New Roman" w:eastAsia="Times New Roman" w:hAnsi="Times New Roman"/>
                <w:sz w:val="9"/>
                <w:szCs w:val="9"/>
                <w:color w:val="auto"/>
              </w:rPr>
              <w:t>(1)</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77%</w:t>
            </w:r>
          </w:p>
        </w:tc>
      </w:tr>
      <w:tr>
        <w:trPr>
          <w:trHeight w:val="210"/>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Listed derivatives, average RPC</w:t>
            </w:r>
            <w:r>
              <w:rPr>
                <w:rFonts w:ascii="Times New Roman" w:cs="Times New Roman" w:eastAsia="Times New Roman" w:hAnsi="Times New Roman"/>
                <w:sz w:val="9"/>
                <w:szCs w:val="9"/>
                <w:color w:val="auto"/>
              </w:rPr>
              <w:t>(2)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w:t>
            </w:r>
          </w:p>
        </w:tc>
      </w:tr>
      <w:tr>
        <w:trPr>
          <w:trHeight w:val="195"/>
        </w:trPr>
        <w:tc>
          <w:tcPr>
            <w:tcW w:w="7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r>
              <w:rPr>
                <w:rFonts w:ascii="Times New Roman" w:cs="Times New Roman" w:eastAsia="Times New Roman" w:hAnsi="Times New Roman"/>
                <w:sz w:val="9"/>
                <w:szCs w:val="9"/>
                <w:color w:val="auto"/>
              </w:rPr>
              <w:t>(1)</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133%</w:t>
            </w:r>
          </w:p>
        </w:tc>
      </w:tr>
      <w:tr>
        <w:trPr>
          <w:trHeight w:val="210"/>
        </w:trPr>
        <w:tc>
          <w:tcPr>
            <w:tcW w:w="75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OTC derivatives (contracts, 000’s)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r>
      <w:tr>
        <w:trPr>
          <w:trHeight w:val="188"/>
        </w:trPr>
        <w:tc>
          <w:tcPr>
            <w:tcW w:w="758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OTC derivatives, average RPC</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r>
    </w:tbl>
    <w:p>
      <w:pPr>
        <w:spacing w:after="0" w:line="127" w:lineRule="exact"/>
        <w:rPr>
          <w:sz w:val="20"/>
          <w:szCs w:val="20"/>
          <w:color w:val="auto"/>
        </w:rPr>
      </w:pPr>
    </w:p>
    <w:p>
      <w:pPr>
        <w:ind w:left="440" w:right="400" w:hanging="414"/>
        <w:spacing w:after="0" w:line="251" w:lineRule="auto"/>
        <w:tabs>
          <w:tab w:leader="none" w:pos="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of RJO, effective July 31, 2025, contributed 5.8 million listed derivative contracts and $2.2 billion in average client equity for the three months ended December 31, 2025.</w:t>
      </w:r>
    </w:p>
    <w:p>
      <w:pPr>
        <w:ind w:left="440" w:right="520" w:hanging="414"/>
        <w:spacing w:after="0" w:line="261" w:lineRule="auto"/>
        <w:tabs>
          <w:tab w:leader="none" w:pos="4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Give-up fee revenues, related to contract execution for clients of other FCMs, as well as cash and voice brokerage revenues are excluded from the calculation of listed derivatives, average RPC.</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3520" w:type="dxa"/>
            <w:vAlign w:val="bottom"/>
            <w:gridSpan w:val="7"/>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7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Operating Revenues (in millions):</w:t>
            </w:r>
          </w:p>
        </w:tc>
        <w:tc>
          <w:tcPr>
            <w:tcW w:w="7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7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Listed derivatives</w:t>
            </w:r>
          </w:p>
        </w:tc>
        <w:tc>
          <w:tcPr>
            <w:tcW w:w="72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120" w:type="dxa"/>
            <w:vAlign w:val="bottom"/>
          </w:tcPr>
          <w:p>
            <w:pPr>
              <w:spacing w:after="0"/>
              <w:rPr>
                <w:sz w:val="16"/>
                <w:szCs w:val="16"/>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56%</w:t>
            </w:r>
          </w:p>
        </w:tc>
      </w:tr>
      <w:tr>
        <w:trPr>
          <w:trHeight w:val="21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OTC derivatives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72%</w:t>
            </w:r>
          </w:p>
        </w:tc>
      </w:tr>
      <w:tr>
        <w:trPr>
          <w:trHeight w:val="195"/>
        </w:trPr>
        <w:tc>
          <w:tcPr>
            <w:tcW w:w="768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Physical contracts</w:t>
            </w:r>
          </w:p>
        </w:tc>
        <w:tc>
          <w:tcPr>
            <w:tcW w:w="7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135.4</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76%</w:t>
            </w:r>
          </w:p>
        </w:tc>
      </w:tr>
      <w:tr>
        <w:trPr>
          <w:trHeight w:val="210"/>
        </w:trPr>
        <w:tc>
          <w:tcPr>
            <w:tcW w:w="7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r>
      <w:tr>
        <w:trPr>
          <w:trHeight w:val="196"/>
        </w:trPr>
        <w:tc>
          <w:tcPr>
            <w:tcW w:w="7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w:t>
            </w:r>
          </w:p>
        </w:tc>
        <w:tc>
          <w:tcPr>
            <w:tcW w:w="7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w:t>
            </w:r>
          </w:p>
        </w:tc>
      </w:tr>
      <w:tr>
        <w:trPr>
          <w:trHeight w:val="221"/>
        </w:trPr>
        <w:tc>
          <w:tcPr>
            <w:tcW w:w="76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316.3</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191.5</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20"/>
          </w:cols>
          <w:pgMar w:left="320" w:top="1035"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Institutional</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6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325.0</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6"/>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294.5</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128%</w:t>
            </w:r>
          </w:p>
        </w:tc>
        <w:tc>
          <w:tcPr>
            <w:tcW w:w="0" w:type="dxa"/>
            <w:vAlign w:val="bottom"/>
          </w:tcPr>
          <w:p>
            <w:pPr>
              <w:spacing w:after="0"/>
              <w:rPr>
                <w:sz w:val="1"/>
                <w:szCs w:val="1"/>
                <w:color w:val="auto"/>
              </w:rPr>
            </w:pPr>
          </w:p>
        </w:tc>
      </w:tr>
      <w:tr>
        <w:trPr>
          <w:trHeight w:val="196"/>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Non-variable direct expenses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gain</w:t>
            </w:r>
          </w:p>
        </w:tc>
        <w:tc>
          <w:tcPr>
            <w:tcW w:w="2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20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78.1</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1"/>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173%</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FX contracts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w:t>
            </w:r>
          </w:p>
        </w:tc>
      </w:tr>
      <w:tr>
        <w:trPr>
          <w:trHeight w:val="196"/>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94%</w:t>
            </w:r>
          </w:p>
        </w:tc>
      </w:tr>
      <w:tr>
        <w:trPr>
          <w:trHeight w:val="221"/>
        </w:trPr>
        <w:tc>
          <w:tcPr>
            <w:tcW w:w="76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539.6</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60%</w:t>
            </w:r>
          </w:p>
        </w:tc>
      </w:tr>
      <w:tr>
        <w:trPr>
          <w:trHeight w:val="24"/>
        </w:trPr>
        <w:tc>
          <w:tcPr>
            <w:tcW w:w="766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860" w:type="dxa"/>
            <w:vAlign w:val="bottom"/>
            <w:tcBorders>
              <w:top w:val="single" w:sz="8" w:color="CCEEFF"/>
              <w:bottom w:val="single" w:sz="8" w:color="auto"/>
            </w:tcBorders>
          </w:tcPr>
          <w:p>
            <w:pPr>
              <w:spacing w:after="0"/>
              <w:rPr>
                <w:sz w:val="2"/>
                <w:szCs w:val="2"/>
                <w:color w:val="auto"/>
              </w:rPr>
            </w:pPr>
          </w:p>
        </w:tc>
        <w:tc>
          <w:tcPr>
            <w:tcW w:w="120" w:type="dxa"/>
            <w:vAlign w:val="bottom"/>
            <w:tcBorders>
              <w:top w:val="single" w:sz="8" w:color="CCEEFF"/>
            </w:tcBorders>
          </w:tcPr>
          <w:p>
            <w:pPr>
              <w:spacing w:after="0"/>
              <w:rPr>
                <w:sz w:val="2"/>
                <w:szCs w:val="2"/>
                <w:color w:val="auto"/>
              </w:rPr>
            </w:pPr>
          </w:p>
        </w:tc>
        <w:tc>
          <w:tcPr>
            <w:tcW w:w="240" w:type="dxa"/>
            <w:vAlign w:val="bottom"/>
            <w:tcBorders>
              <w:top w:val="single" w:sz="8" w:color="CCEEFF"/>
              <w:bottom w:val="single" w:sz="8" w:color="auto"/>
            </w:tcBorders>
          </w:tcPr>
          <w:p>
            <w:pPr>
              <w:spacing w:after="0"/>
              <w:rPr>
                <w:sz w:val="2"/>
                <w:szCs w:val="2"/>
                <w:color w:val="auto"/>
              </w:rPr>
            </w:pPr>
          </w:p>
        </w:tc>
        <w:tc>
          <w:tcPr>
            <w:tcW w:w="86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100" w:type="dxa"/>
            <w:vAlign w:val="bottom"/>
            <w:tcBorders>
              <w:top w:val="single" w:sz="8" w:color="CCEEFF"/>
              <w:bottom w:val="single" w:sz="8" w:color="auto"/>
            </w:tcBorders>
          </w:tcPr>
          <w:p>
            <w:pPr>
              <w:spacing w:after="0"/>
              <w:rPr>
                <w:sz w:val="2"/>
                <w:szCs w:val="2"/>
                <w:color w:val="auto"/>
              </w:rPr>
            </w:pPr>
          </w:p>
        </w:tc>
      </w:tr>
      <w:tr>
        <w:trPr>
          <w:trHeight w:val="206"/>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5"/>
        </w:trPr>
        <w:tc>
          <w:tcPr>
            <w:tcW w:w="7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Listed derivatives (contracts, 000’s)</w:t>
            </w:r>
            <w:r>
              <w:rPr>
                <w:rFonts w:ascii="Times New Roman" w:cs="Times New Roman" w:eastAsia="Times New Roman" w:hAnsi="Times New Roman"/>
                <w:sz w:val="9"/>
                <w:szCs w:val="9"/>
                <w:color w:val="auto"/>
              </w:rPr>
              <w:t>(1)</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42,572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53%</w:t>
            </w:r>
          </w:p>
        </w:tc>
      </w:tr>
      <w:tr>
        <w:trPr>
          <w:trHeight w:val="210"/>
        </w:trPr>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Listed derivatives, average RPC</w:t>
            </w:r>
            <w:r>
              <w:rPr>
                <w:rFonts w:ascii="Times New Roman" w:cs="Times New Roman" w:eastAsia="Times New Roman" w:hAnsi="Times New Roman"/>
                <w:sz w:val="9"/>
                <w:szCs w:val="9"/>
                <w:color w:val="auto"/>
              </w:rPr>
              <w:t>(2)</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r>
      <w:tr>
        <w:trPr>
          <w:trHeight w:val="195"/>
        </w:trPr>
        <w:tc>
          <w:tcPr>
            <w:tcW w:w="7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Average client equity - listed derivatives (millions)</w:t>
            </w:r>
            <w:r>
              <w:rPr>
                <w:rFonts w:ascii="Times New Roman" w:cs="Times New Roman" w:eastAsia="Times New Roman" w:hAnsi="Times New Roman"/>
                <w:sz w:val="9"/>
                <w:szCs w:val="9"/>
                <w:color w:val="auto"/>
              </w:rPr>
              <w:t>(1)</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9,225</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w:t>
            </w:r>
          </w:p>
        </w:tc>
      </w:tr>
      <w:tr>
        <w:trPr>
          <w:trHeight w:val="210"/>
        </w:trPr>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Securities ADV (millions)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r>
      <w:tr>
        <w:trPr>
          <w:trHeight w:val="195"/>
        </w:trPr>
        <w:tc>
          <w:tcPr>
            <w:tcW w:w="76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Securities RPM</w:t>
            </w:r>
            <w:r>
              <w:rPr>
                <w:rFonts w:ascii="Times New Roman" w:cs="Times New Roman" w:eastAsia="Times New Roman" w:hAnsi="Times New Roman"/>
                <w:sz w:val="9"/>
                <w:szCs w:val="9"/>
                <w:color w:val="auto"/>
              </w:rPr>
              <w:t>(3)</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r>
      <w:tr>
        <w:trPr>
          <w:trHeight w:val="210"/>
        </w:trPr>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Average money market/FDIC sweep client balances (millions)</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FX contracts ADV (millions)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2,626</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r>
      <w:tr>
        <w:trPr>
          <w:trHeight w:val="210"/>
        </w:trPr>
        <w:tc>
          <w:tcPr>
            <w:tcW w:w="7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FX contracts RPM</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r>
    </w:tbl>
    <w:p>
      <w:pPr>
        <w:spacing w:after="0" w:line="112" w:lineRule="exact"/>
        <w:rPr>
          <w:sz w:val="20"/>
          <w:szCs w:val="20"/>
          <w:color w:val="auto"/>
        </w:rPr>
      </w:pPr>
    </w:p>
    <w:p>
      <w:pPr>
        <w:ind w:left="440" w:right="360" w:hanging="414"/>
        <w:spacing w:after="0" w:line="251" w:lineRule="auto"/>
        <w:tabs>
          <w:tab w:leader="none" w:pos="4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The acquisition of RJO, effective July 31, 2025, contributed 25.1 million listed derivative contracts and $3.6 billion in average client equity for the three months ended December 31, 2025.</w:t>
      </w:r>
    </w:p>
    <w:p>
      <w:pPr>
        <w:ind w:left="440" w:hanging="414"/>
        <w:spacing w:after="0"/>
        <w:tabs>
          <w:tab w:leader="none" w:pos="4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Give-up fees, related to contract execution for clients of other FCMs, are excluded from the calculation of listed derivatives, average RPC.</w:t>
      </w:r>
    </w:p>
    <w:p>
      <w:pPr>
        <w:spacing w:after="0" w:line="41" w:lineRule="exact"/>
        <w:rPr>
          <w:rFonts w:ascii="Times New Roman" w:cs="Times New Roman" w:eastAsia="Times New Roman" w:hAnsi="Times New Roman"/>
          <w:sz w:val="13"/>
          <w:szCs w:val="13"/>
          <w:color w:val="auto"/>
        </w:rPr>
      </w:pPr>
    </w:p>
    <w:p>
      <w:pPr>
        <w:ind w:left="440" w:right="200" w:hanging="414"/>
        <w:spacing w:after="0" w:line="261" w:lineRule="auto"/>
        <w:tabs>
          <w:tab w:leader="none" w:pos="4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Interest expense associated with our fixed income activities is deducted from operating revenues in the calculation of Securities RPM, while interest income related to securities lending is excluded.</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52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4"/>
        </w:trPr>
        <w:tc>
          <w:tcPr>
            <w:tcW w:w="76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Operating Revenues (in millions):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Listed derivatives</w:t>
            </w: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w:t>
            </w:r>
          </w:p>
        </w:tc>
        <w:tc>
          <w:tcPr>
            <w:tcW w:w="120" w:type="dxa"/>
            <w:vAlign w:val="bottom"/>
          </w:tcPr>
          <w:p>
            <w:pPr>
              <w:spacing w:after="0"/>
              <w:rPr>
                <w:sz w:val="16"/>
                <w:szCs w:val="16"/>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377%</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57%</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FX contracts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64.4</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50%</w:t>
            </w:r>
          </w:p>
        </w:tc>
      </w:tr>
      <w:tr>
        <w:trPr>
          <w:trHeight w:val="196"/>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198%</w:t>
            </w:r>
          </w:p>
        </w:tc>
      </w:tr>
      <w:tr>
        <w:trPr>
          <w:trHeight w:val="221"/>
        </w:trPr>
        <w:tc>
          <w:tcPr>
            <w:tcW w:w="76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324.2</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174.0</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86%</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8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Self-Directed/Retail</w:t>
      </w:r>
    </w:p>
    <w:p>
      <w:pPr>
        <w:spacing w:after="0" w:line="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5"/>
        </w:trPr>
        <w:tc>
          <w:tcPr>
            <w:tcW w:w="7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Consulting, management and account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121.6</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6"/>
        </w:trPr>
        <w:tc>
          <w:tcPr>
            <w:tcW w:w="7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121.6</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5"/>
        </w:trPr>
        <w:tc>
          <w:tcPr>
            <w:tcW w:w="7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6%</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92.3</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2.8</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89.5</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95"/>
        </w:trPr>
        <w:tc>
          <w:tcPr>
            <w:tcW w:w="7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10"/>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29.1</w:t>
            </w: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203"/>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Non-variable direct expenses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38.9</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gain</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203"/>
        </w:trPr>
        <w:tc>
          <w:tcPr>
            <w:tcW w:w="7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55.0</w:t>
            </w:r>
          </w:p>
        </w:tc>
        <w:tc>
          <w:tcPr>
            <w:tcW w:w="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96"/>
        </w:trPr>
        <w:tc>
          <w:tcPr>
            <w:tcW w:w="76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21"/>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42.4</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520" w:type="dxa"/>
            <w:vAlign w:val="bottom"/>
            <w:gridSpan w:val="7"/>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76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120" w:type="dxa"/>
            <w:vAlign w:val="bottom"/>
          </w:tcPr>
          <w:p>
            <w:pPr>
              <w:spacing w:after="0"/>
              <w:rPr>
                <w:sz w:val="16"/>
                <w:szCs w:val="16"/>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11%</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w:t>
            </w: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(31)%</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(29)%</w:t>
            </w:r>
          </w:p>
        </w:tc>
      </w:tr>
      <w:tr>
        <w:trPr>
          <w:trHeight w:val="203"/>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(83)%</w:t>
            </w:r>
          </w:p>
        </w:tc>
      </w:tr>
      <w:tr>
        <w:trPr>
          <w:trHeight w:val="196"/>
        </w:trPr>
        <w:tc>
          <w:tcPr>
            <w:tcW w:w="7660" w:type="dxa"/>
            <w:vAlign w:val="bottom"/>
          </w:tcPr>
          <w:p>
            <w:pPr>
              <w:spacing w:after="0"/>
              <w:rPr>
                <w:sz w:val="17"/>
                <w:szCs w:val="17"/>
                <w:color w:val="auto"/>
              </w:rPr>
            </w:pPr>
          </w:p>
        </w:tc>
        <w:tc>
          <w:tcPr>
            <w:tcW w:w="7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94.4</w:t>
            </w:r>
          </w:p>
        </w:tc>
        <w:tc>
          <w:tcPr>
            <w:tcW w:w="120" w:type="dxa"/>
            <w:vAlign w:val="bottom"/>
          </w:tcPr>
          <w:p>
            <w:pPr>
              <w:spacing w:after="0"/>
              <w:rPr>
                <w:sz w:val="17"/>
                <w:szCs w:val="17"/>
                <w:color w:val="auto"/>
              </w:rPr>
            </w:pPr>
          </w:p>
        </w:tc>
        <w:tc>
          <w:tcPr>
            <w:tcW w:w="7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(22)%</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76"/>
        </w:trPr>
        <w:tc>
          <w:tcPr>
            <w:tcW w:w="76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6"/>
        </w:trPr>
        <w:tc>
          <w:tcPr>
            <w:tcW w:w="7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 ADV (millions)</w:t>
            </w: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13%</w:t>
            </w:r>
          </w:p>
        </w:tc>
      </w:tr>
      <w:tr>
        <w:trPr>
          <w:trHeight w:val="188"/>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FX/CFD contracts RPM</w:t>
            </w: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16"/>
                <w:szCs w:val="16"/>
                <w:color w:val="auto"/>
              </w:rPr>
            </w:pP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6"/>
                <w:szCs w:val="16"/>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(41)%</w:t>
            </w:r>
          </w:p>
        </w:tc>
      </w:tr>
    </w:tbl>
    <w:p>
      <w:pPr>
        <w:spacing w:after="0" w:line="200" w:lineRule="exact"/>
        <w:rPr>
          <w:sz w:val="20"/>
          <w:szCs w:val="20"/>
          <w:color w:val="auto"/>
        </w:rPr>
      </w:pP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520" w:type="dxa"/>
            <w:vAlign w:val="bottom"/>
            <w:gridSpan w:val="7"/>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76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Operating Revenues (in millions):</w:t>
            </w: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w:t>
            </w: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6"/>
                <w:szCs w:val="16"/>
                <w:color w:val="auto"/>
              </w:rPr>
            </w:pP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110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13%</w:t>
            </w:r>
          </w:p>
        </w:tc>
      </w:tr>
      <w:tr>
        <w:trPr>
          <w:trHeight w:val="21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FX/CFD contracts</w:t>
            </w: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(35)%</w:t>
            </w: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Interest/fees earned on client balances</w:t>
            </w:r>
          </w:p>
        </w:tc>
        <w:tc>
          <w:tcPr>
            <w:tcW w:w="7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6"/>
                <w:szCs w:val="16"/>
                <w:color w:val="auto"/>
              </w:rPr>
            </w:pPr>
          </w:p>
        </w:tc>
        <w:tc>
          <w:tcPr>
            <w:tcW w:w="11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(29)%</w:t>
            </w:r>
          </w:p>
        </w:tc>
      </w:tr>
      <w:tr>
        <w:trPr>
          <w:trHeight w:val="203"/>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(83)%</w:t>
            </w:r>
          </w:p>
        </w:tc>
      </w:tr>
      <w:tr>
        <w:trPr>
          <w:trHeight w:val="196"/>
        </w:trPr>
        <w:tc>
          <w:tcPr>
            <w:tcW w:w="7660" w:type="dxa"/>
            <w:vAlign w:val="bottom"/>
          </w:tcPr>
          <w:p>
            <w:pPr>
              <w:spacing w:after="0"/>
              <w:rPr>
                <w:sz w:val="17"/>
                <w:szCs w:val="17"/>
                <w:color w:val="auto"/>
              </w:rPr>
            </w:pPr>
          </w:p>
        </w:tc>
        <w:tc>
          <w:tcPr>
            <w:tcW w:w="7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(34)%</w:t>
            </w:r>
          </w:p>
        </w:tc>
      </w:tr>
      <w:tr>
        <w:trPr>
          <w:trHeight w:val="27"/>
        </w:trPr>
        <w:tc>
          <w:tcPr>
            <w:tcW w:w="76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ectPr>
          <w:pgSz w:w="11900" w:h="16838" w:orient="portrait"/>
          <w:cols w:equalWidth="0" w:num="1">
            <w:col w:w="11220"/>
          </w:cols>
          <w:pgMar w:left="320" w:top="99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Payments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Sales of physical commodities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Principal gains, net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Commission and clearing fees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Consulting, management, account fees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Cost of sales of physical commodities</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revenues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Transaction-based clearing expenses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Introducing broker commissions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96"/>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operating revenues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contribution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Other fixed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6"/>
        </w:trPr>
        <w:tc>
          <w:tcPr>
            <w:tcW w:w="77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Bad debts, net of recoveries</w:t>
            </w:r>
          </w:p>
        </w:tc>
        <w:tc>
          <w:tcPr>
            <w:tcW w:w="2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(100)%</w:t>
            </w:r>
          </w:p>
        </w:tc>
        <w:tc>
          <w:tcPr>
            <w:tcW w:w="0" w:type="dxa"/>
            <w:vAlign w:val="bottom"/>
          </w:tcPr>
          <w:p>
            <w:pPr>
              <w:spacing w:after="0"/>
              <w:rPr>
                <w:sz w:val="1"/>
                <w:szCs w:val="1"/>
                <w:color w:val="auto"/>
              </w:rPr>
            </w:pPr>
          </w:p>
        </w:tc>
      </w:tr>
      <w:tr>
        <w:trPr>
          <w:trHeight w:val="20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non-variable direct expenses</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6"/>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loss</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203"/>
        </w:trPr>
        <w:tc>
          <w:tcPr>
            <w:tcW w:w="7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w:t>
            </w: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21"/>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income, less allocation of overhead costs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350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76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8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Operating Revenues (in millions):</w:t>
            </w: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7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w:t>
            </w: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r>
      <w:tr>
        <w:trPr>
          <w:trHeight w:val="203"/>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w:t>
            </w:r>
          </w:p>
        </w:tc>
        <w:tc>
          <w:tcPr>
            <w:tcW w:w="70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85%</w:t>
            </w:r>
          </w:p>
        </w:tc>
      </w:tr>
      <w:tr>
        <w:trPr>
          <w:trHeight w:val="196"/>
        </w:trPr>
        <w:tc>
          <w:tcPr>
            <w:tcW w:w="7680" w:type="dxa"/>
            <w:vAlign w:val="bottom"/>
          </w:tcPr>
          <w:p>
            <w:pPr>
              <w:spacing w:after="0"/>
              <w:rPr>
                <w:sz w:val="17"/>
                <w:szCs w:val="17"/>
                <w:color w:val="auto"/>
              </w:rPr>
            </w:pPr>
          </w:p>
        </w:tc>
        <w:tc>
          <w:tcPr>
            <w:tcW w:w="70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58.1</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w:t>
            </w:r>
          </w:p>
        </w:tc>
      </w:tr>
      <w:tr>
        <w:trPr>
          <w:trHeight w:val="21"/>
        </w:trPr>
        <w:tc>
          <w:tcPr>
            <w:tcW w:w="768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9"/>
        </w:trPr>
        <w:tc>
          <w:tcPr>
            <w:tcW w:w="76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6"/>
        </w:trPr>
        <w:tc>
          <w:tcPr>
            <w:tcW w:w="7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Volumes and Other Select Data:</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7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Payments ADV (millions)</w:t>
            </w:r>
          </w:p>
        </w:tc>
        <w:tc>
          <w:tcPr>
            <w:tcW w:w="70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w:t>
            </w:r>
          </w:p>
        </w:tc>
      </w:tr>
      <w:tr>
        <w:trPr>
          <w:trHeight w:val="188"/>
        </w:trPr>
        <w:tc>
          <w:tcPr>
            <w:tcW w:w="76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Payments RPM</w:t>
            </w:r>
          </w:p>
        </w:tc>
        <w:tc>
          <w:tcPr>
            <w:tcW w:w="700" w:type="dxa"/>
            <w:vAlign w:val="bottom"/>
          </w:tcPr>
          <w:p>
            <w:pPr>
              <w:jc w:val="right"/>
              <w:ind w:right="54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9,377</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10,414</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w:t>
            </w:r>
          </w:p>
        </w:tc>
      </w:tr>
    </w:tbl>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3520" w:type="dxa"/>
            <w:vAlign w:val="bottom"/>
            <w:gridSpan w:val="7"/>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76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89"/>
        </w:trPr>
        <w:tc>
          <w:tcPr>
            <w:tcW w:w="76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Operating Revenues (in millions):</w:t>
            </w: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5"/>
        </w:trPr>
        <w:tc>
          <w:tcPr>
            <w:tcW w:w="76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Payments</w:t>
            </w: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120" w:type="dxa"/>
            <w:vAlign w:val="bottom"/>
          </w:tcPr>
          <w:p>
            <w:pPr>
              <w:spacing w:after="0"/>
              <w:rPr>
                <w:sz w:val="16"/>
                <w:szCs w:val="16"/>
                <w:color w:val="auto"/>
              </w:rPr>
            </w:pPr>
          </w:p>
        </w:tc>
        <w:tc>
          <w:tcPr>
            <w:tcW w:w="7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w:t>
            </w:r>
          </w:p>
        </w:tc>
      </w:tr>
      <w:tr>
        <w:trPr>
          <w:trHeight w:val="203"/>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7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w:t>
            </w:r>
          </w:p>
        </w:tc>
      </w:tr>
      <w:tr>
        <w:trPr>
          <w:trHeight w:val="196"/>
        </w:trPr>
        <w:tc>
          <w:tcPr>
            <w:tcW w:w="7660" w:type="dxa"/>
            <w:vAlign w:val="bottom"/>
          </w:tcPr>
          <w:p>
            <w:pPr>
              <w:spacing w:after="0"/>
              <w:rPr>
                <w:sz w:val="17"/>
                <w:szCs w:val="17"/>
                <w:color w:val="auto"/>
              </w:rPr>
            </w:pPr>
          </w:p>
        </w:tc>
        <w:tc>
          <w:tcPr>
            <w:tcW w:w="7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27"/>
        </w:trPr>
        <w:tc>
          <w:tcPr>
            <w:tcW w:w="76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108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Overhead Costs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incur overhead costs, including certain shared services such as information technology, accounting and treasury, credit and risk, legal and compliance, and human resources and other activities. The following table provides information regarding overhead costs and expenses. The allocation of overhead costs to operating segments includes costs associated with compliance, technology, and credit and risk costs. The share of allocated costs is based on resources consumed by the relevant businesses. In addition, the allocation of human resources and occupancy costs is principally based on employee costs within the relevant businesses.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8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0" w:type="dxa"/>
            <w:vAlign w:val="bottom"/>
          </w:tcPr>
          <w:p>
            <w:pPr>
              <w:spacing w:after="0"/>
              <w:rPr>
                <w:sz w:val="1"/>
                <w:szCs w:val="1"/>
                <w:color w:val="auto"/>
              </w:rPr>
            </w:pPr>
          </w:p>
        </w:tc>
      </w:tr>
      <w:tr>
        <w:trPr>
          <w:trHeight w:val="23"/>
        </w:trPr>
        <w:tc>
          <w:tcPr>
            <w:tcW w:w="7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7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Compensation and benefits:</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Variable compensation and benefits</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Fixed compensation and benefits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67.6</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5"/>
        </w:trPr>
        <w:tc>
          <w:tcPr>
            <w:tcW w:w="7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4%</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Occupancy and equipment rental</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Non-trading technology and support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5"/>
        </w:trPr>
        <w:tc>
          <w:tcPr>
            <w:tcW w:w="7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Professional fees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95"/>
        </w:trPr>
        <w:tc>
          <w:tcPr>
            <w:tcW w:w="7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Communications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Selling and marketing</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95"/>
        </w:trPr>
        <w:tc>
          <w:tcPr>
            <w:tcW w:w="77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Trading systems and market information</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Travel and business development</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03"/>
        </w:trPr>
        <w:tc>
          <w:tcPr>
            <w:tcW w:w="77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Overhead costs, before shared services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Shared services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9"/>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Overhead costs, net of shared services</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133.3</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Allocation of overhead costs</w:t>
            </w: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6"/>
              </w:rPr>
              <w:t>5%</w:t>
            </w:r>
          </w:p>
        </w:tc>
        <w:tc>
          <w:tcPr>
            <w:tcW w:w="0" w:type="dxa"/>
            <w:vAlign w:val="bottom"/>
          </w:tcPr>
          <w:p>
            <w:pPr>
              <w:spacing w:after="0"/>
              <w:rPr>
                <w:sz w:val="1"/>
                <w:szCs w:val="1"/>
                <w:color w:val="auto"/>
              </w:rPr>
            </w:pPr>
          </w:p>
        </w:tc>
      </w:tr>
      <w:tr>
        <w:trPr>
          <w:trHeight w:val="19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Overhead costs, net of shared services, net of allocation to operating segments</w:t>
            </w: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 Summary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below provides a summary of asset, liability and stockholders’ equity information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 (in millions, except for share and per share amounts)</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46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79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8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Summary asset information:</w:t>
            </w: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1,592.7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1,605.8</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securities and other assets segregated under federal and other regulations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5,271.0</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purchased under agreements to resell</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13,414.5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10,325.4</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borrowed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2,743.1</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Deposits with and receivables from broker-dealers, clearing organizations and counterparties,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10,244.9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12,890.7</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Receivables from clients, net and notes receivable,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1,333.9</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Financial instruments owned,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10,265.7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8,604.4</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Physical commodities inventory,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917.5</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right of use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Goodwill and intangible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755.0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736.2</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w:t>
            </w:r>
          </w:p>
        </w:tc>
      </w:tr>
      <w:tr>
        <w:trPr>
          <w:trHeight w:val="216"/>
        </w:trPr>
        <w:tc>
          <w:tcPr>
            <w:tcW w:w="7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0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Summary liability and stockholders’ equity information:</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payable and other accrued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888.8</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211.7</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Payables to clients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19,118.8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19,864.1</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Payables to broker-dealers, clearing organizations and counterparties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963.4</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Payables to lenders under loans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782.0</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Senior secured borrowings,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1,159.0</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Securities sold under agreements to repurchase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16,000.9</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13,551.0</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Securities loaned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2,550.8</w:t>
            </w:r>
          </w:p>
        </w:tc>
      </w:tr>
      <w:tr>
        <w:trPr>
          <w:trHeight w:val="195"/>
        </w:trPr>
        <w:tc>
          <w:tcPr>
            <w:tcW w:w="79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Financial instruments sold, not yet purchased, at fair value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4,164.8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2,919.8</w:t>
            </w:r>
          </w:p>
        </w:tc>
      </w:tr>
      <w:tr>
        <w:trPr>
          <w:trHeight w:val="210"/>
        </w:trPr>
        <w:tc>
          <w:tcPr>
            <w:tcW w:w="7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2,377.4</w:t>
            </w:r>
          </w:p>
        </w:tc>
      </w:tr>
      <w:tr>
        <w:trPr>
          <w:trHeight w:val="108"/>
        </w:trPr>
        <w:tc>
          <w:tcPr>
            <w:tcW w:w="7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60" w:type="dxa"/>
            <w:vAlign w:val="bottom"/>
          </w:tcPr>
          <w:p>
            <w:pPr>
              <w:spacing w:after="0"/>
              <w:rPr>
                <w:sz w:val="9"/>
                <w:szCs w:val="9"/>
                <w:color w:val="auto"/>
              </w:rPr>
            </w:pPr>
          </w:p>
        </w:tc>
      </w:tr>
      <w:tr>
        <w:trPr>
          <w:trHeight w:val="20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outstanding - shares</w:t>
            </w: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52,356,371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52,186,635</w:t>
            </w:r>
          </w:p>
        </w:tc>
      </w:tr>
      <w:tr>
        <w:trPr>
          <w:trHeight w:val="188"/>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asset value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45.56</w:t>
            </w: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Three-for-Two Stock Split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February 3, 2026, the Company’s Board of Directors approved a three-for-two split of its common stock to make stock ownership more accessible to employees and investors. The stock split will be effected as a stock dividend entitling each stockholder of record to receive one additional share of common stock for every two shares owned. Additional shares issued as a result of the stock dividend will be distributed after close of trading on March 20, 2026, to stockholders of record at the close of business on March 10, 2026. Cash will be distributed in lieu of fractional shares based on the opening price of a share of common stock on March 11, 2026. Trading is expected to begin on a stock split-adjusted basis at market open on March 23, 2026. All share and per share amounts contained herein have not been retroactively adjusted for this subsequent stock split.</w:t>
      </w:r>
    </w:p>
    <w:p>
      <w:pPr>
        <w:sectPr>
          <w:pgSz w:w="11900" w:h="16838" w:orient="portrait"/>
          <w:cols w:equalWidth="0" w:num="1">
            <w:col w:w="11240"/>
          </w:cols>
          <w:pgMar w:left="320" w:top="108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t>Conference Call &amp; Web Cast</w:t>
      </w:r>
    </w:p>
    <w:p>
      <w:pPr>
        <w:spacing w:after="0" w:line="94" w:lineRule="exact"/>
        <w:rPr>
          <w:sz w:val="20"/>
          <w:szCs w:val="20"/>
          <w:color w:val="auto"/>
        </w:rPr>
      </w:pPr>
    </w:p>
    <w:p>
      <w:pPr>
        <w:ind w:right="240"/>
        <w:spacing w:after="0" w:line="242" w:lineRule="auto"/>
        <w:rPr>
          <w:sz w:val="20"/>
          <w:szCs w:val="20"/>
          <w:color w:val="auto"/>
        </w:rPr>
      </w:pPr>
      <w:r>
        <w:rPr>
          <w:rFonts w:ascii="Times New Roman" w:cs="Times New Roman" w:eastAsia="Times New Roman" w:hAnsi="Times New Roman"/>
          <w:sz w:val="18"/>
          <w:szCs w:val="18"/>
          <w:color w:val="auto"/>
        </w:rPr>
        <w:t>A conference call to discuss the Company’s financial results will be held tomorrow, Thursday, February 5, 2026 at 9:00 a.m. Eastern time. The call may also include discussion of Company developments, and forward-looking and other material information about business and financial matters. A live webcast of the conference call as well as additional information to review during the call will be made available in PDF form on-line on the Company’s corporate web site at https://registerconf.media-server.com/register/BIa4fa524158ce4a3198001aed2c658b87 approximately ten minutes prior to the start time. Participants may preregister for the conference call here.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those who cannot access the live broadcast, a replay of the call will be available at https://www.stonex.com.</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StoneX Group Inc.</w:t>
      </w:r>
    </w:p>
    <w:p>
      <w:pPr>
        <w:spacing w:after="0" w:line="9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StoneX Group Inc., through its subsidiaries, operates a global financial services network that connects companies, organizations, traders and investors to the global market ecosystem through a unique blend of digital platforms, end-to-end clearing and execution services, high touch service and deep expertise. The Company strives to be the one trusted partner to its clients, providing its network, product and services to allow them to pursue trading opportunities, manage their market risks, make investments and improve their business performance. A Fortune-500 company headquartered in New York City and listed on the Nasdaq Global Select Market (NASDAQ:SNEX), StoneX Group Inc. and its more than 5,400 employees serve more than 80,000 commercial, institutional, and payments clients, and more than 400,000 retail accounts, from more than 80 offices spread across six continents. Further information on the Company is available at www.stonex.com.</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Section 27A of the Securities Act of 1933, as amended, and Section 21E of the Securities Exchange Act of 1934, as amended, such as those pertaining to the Company’s financial condition, results of operations, business strategy, financial needs of the Company, impact of the R.J. O’Brien transaction. All statements other than statements of current or historical fact contained in this press release are forward-looking statements. The words “believe,” “expect,” “anticipate,” “should,” “plan,” “will,” “may,” “could,” “intend,” “estimate,” “predict,” “potential,” “continue” or the negative of these terms and similar expressions, as they relate to StoneX Group Inc., are intended to identify forward-looking statements.</w:t>
      </w:r>
    </w:p>
    <w:p>
      <w:pPr>
        <w:spacing w:after="0" w:line="6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forward-looking statements are largely based on current expectations and projections about future events and financial trends that may affect the financial condition, results of operations, business strategy and financial needs of the Company. These forward-looking statements involve known and unknown risks and uncertainties, many of which are beyond the control of the Company, including statements about the benefits of our acquisition of RJO, including expected synergies and future financial and operating results, the plans, objectives, expectations and intentions of StoneX with respect to the acquisition, adverse changes in economic, political and market conditions, including losses from our market-making and trading activities arising from counterparty failures, global trade policies and tariffs, the loss of key personnel, the impact of increasing competition, the impact of changes in government regulation, uncertainty concerning fiscal or monetary policies established by central banks and financial regulators, the possibility of liabilities arising from violations of foreign, United States (“U.S.”) federal and U.S. state securities laws, the impact of changes in technology in the securities and commodities trading industries, and other risks discussed in our filings with the SEC, including Part I, Item 1A of our Annual Report on Form 10-K for the year ended September 30, 2025. Although we believe that our forward-looking statements are based upon reasonable assumptions regarding our business and future market conditions, there can be no assurances that our actual results will not differ materially from any results expressed or implied by our forward-looking statements.</w:t>
      </w:r>
    </w:p>
    <w:p>
      <w:pPr>
        <w:spacing w:after="0" w:line="68"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press release. StoneX Group Inc. undertakes no obligation to update or revise any forward-looking statements, whether as a result of new information, future events or otherwise, except as required by law. Accordingly, readers are cautioned not to place undue reliance on these forward-looking statements. For these statements, we claim the protection of the safe harbor for forward-looking statements contained in the Private Securities Litigation Reform Act of 1995.</w:t>
      </w:r>
    </w:p>
    <w:p>
      <w:pPr>
        <w:sectPr>
          <w:pgSz w:w="11900" w:h="16838" w:orient="portrait"/>
          <w:cols w:equalWidth="0" w:num="1">
            <w:col w:w="11220"/>
          </w:cols>
          <w:pgMar w:left="320" w:top="1197"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Appendix - Non-GAAP Financial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net income to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and Adjusted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6"/>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23"/>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77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02"/>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9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139.0</w:t>
            </w:r>
          </w:p>
        </w:tc>
        <w:tc>
          <w:tcPr>
            <w:tcW w:w="12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63%</w:t>
            </w:r>
          </w:p>
        </w:tc>
      </w:tr>
      <w:tr>
        <w:trPr>
          <w:trHeight w:val="21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321.4</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52%</w:t>
            </w:r>
          </w:p>
        </w:tc>
      </w:tr>
      <w:tr>
        <w:trPr>
          <w:trHeight w:val="195"/>
        </w:trPr>
        <w:tc>
          <w:tcPr>
            <w:tcW w:w="7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59%</w:t>
            </w:r>
          </w:p>
        </w:tc>
      </w:tr>
      <w:tr>
        <w:trPr>
          <w:trHeight w:val="21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Income tax expense</w:t>
            </w: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44%</w:t>
            </w:r>
          </w:p>
        </w:tc>
      </w:tr>
      <w:tr>
        <w:trPr>
          <w:trHeight w:val="18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EBITDA</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454.0</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54%</w:t>
            </w:r>
          </w:p>
        </w:tc>
      </w:tr>
      <w:tr>
        <w:trPr>
          <w:trHeight w:val="21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Amortization of share-based compensation</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w:t>
            </w:r>
          </w:p>
        </w:tc>
      </w:tr>
      <w:tr>
        <w:trPr>
          <w:trHeight w:val="195"/>
        </w:trPr>
        <w:tc>
          <w:tcPr>
            <w:tcW w:w="7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Interest expense attributable to trading activities</w:t>
            </w: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(306.2)</w:t>
            </w: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w:t>
            </w:r>
          </w:p>
        </w:tc>
      </w:tr>
      <w:tr>
        <w:trPr>
          <w:trHeight w:val="203"/>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Other losses (gains), net</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n/m</w:t>
            </w:r>
          </w:p>
        </w:tc>
      </w:tr>
      <w:tr>
        <w:trPr>
          <w:trHeight w:val="203"/>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0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64%</w:t>
            </w:r>
          </w:p>
        </w:tc>
      </w:tr>
      <w:tr>
        <w:trPr>
          <w:trHeight w:val="21"/>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EBITDA and Adjusted EBITDA are non-GAAP measures.</w:t>
      </w:r>
    </w:p>
    <w:p>
      <w:pPr>
        <w:spacing w:after="0" w:line="200" w:lineRule="exact"/>
        <w:rPr>
          <w:sz w:val="20"/>
          <w:szCs w:val="20"/>
          <w:color w:val="auto"/>
        </w:rPr>
      </w:pPr>
    </w:p>
    <w:p>
      <w:pPr>
        <w:spacing w:after="0" w:line="20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EBITDA, a non-GAAP measure used to measure operating performance, is defined as net income plus interest expense, depreciation and amortization, and income tax expense. Adjusted EBITDA represents EBITDA plus amortization of share-based compensation and less interest expenses attributable to trading activities, including the credit facilities of our subsidiaries, gain on acquisitions, acquisition-related expenses, and gain on class action settlements.</w:t>
      </w:r>
    </w:p>
    <w:p>
      <w:pPr>
        <w:spacing w:after="0" w:line="12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Each of the EBITDA-based measures described above is not a presentation made in accordance with GAAP and should not be considered as an alternative to net income or any other performance measures derived in accordance with GAAP as a measure of operating performance or to cash flows as a measure of liquidity. Additionally, each such measure is not intended to be a measure of free cash flows available for management’s discretionary use, as it does not consider certain cash requirements such as interest payments, tax payments and debt service requirements. Such measures have limitations as analytical tools, and you should not consider any of such measures in isolation or as substitutes for our results as reported under GAAP. Management compensates for the limitations of using non-GAAP financial measures by using them to supplement GAAP results to provide a more complete understanding of the factors and trends affecting the business than GAAP results alone. Because not all companies use identical calculations, these EBITDA-based measures may not be comparable to other similarly titled measures of other companies.</w:t>
      </w:r>
    </w:p>
    <w:p>
      <w:pPr>
        <w:spacing w:after="0" w:line="13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believes EBITDA is helpful in highlighting the business’s trends because EBITDA excludes the results of decisions that are outside the control of management and can differ significantly from company to company depending on long-term strategic decisions regarding capital structure, the tax jurisdictions in which companies operate and capital investments. In addition, EBITDA provides more comparability between the historical operating results that reflect purchase accounting and the new capital structure.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StoneX Group Inc.</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inquiries: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Murphy</w:t>
      </w:r>
    </w:p>
    <w:p>
      <w:pPr>
        <w:spacing w:after="0" w:line="27" w:lineRule="exact"/>
        <w:rPr>
          <w:sz w:val="20"/>
          <w:szCs w:val="20"/>
          <w:color w:val="auto"/>
        </w:rPr>
      </w:pPr>
    </w:p>
    <w:p>
      <w:pPr>
        <w:ind w:right="9240" w:firstLine="8"/>
        <w:spacing w:after="0" w:line="260"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403 - 7296 </w:t>
      </w:r>
      <w:r>
        <w:rPr>
          <w:rFonts w:ascii="Times New Roman" w:cs="Times New Roman" w:eastAsia="Times New Roman" w:hAnsi="Times New Roman"/>
          <w:sz w:val="18"/>
          <w:szCs w:val="18"/>
          <w:u w:val="single" w:color="auto"/>
          <w:color w:val="auto"/>
        </w:rPr>
        <w:t>kevin.murphy@stonex.com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SNEX-G</w:t>
      </w: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2026-02-04T15:38:10Z</dcterms:created>
  <dcterms:modified xsi:type="dcterms:W3CDTF">2026-02-04T15:38:10Z</dcterms:modified>
</cp:coreProperties>
</file>