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SCHEDULE 14A INFORMATION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Proxy Statement Pursuant to Section 14(a) of the Securities</w:t>
      </w:r>
    </w:p>
    <w:p>
      <w:pPr>
        <w:pStyle w:val="TextBody"/>
        <w:bidi w:val="0"/>
        <w:spacing w:lineRule="auto" w:line="288" w:before="0" w:after="48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Exchange Act of 1934 (Amendment No. __)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Filed by the Registrant [X]    </w:t>
      </w:r>
    </w:p>
    <w:p>
      <w:pPr>
        <w:pStyle w:val="TextBody"/>
        <w:bidi w:val="0"/>
        <w:spacing w:lineRule="auto" w:line="288" w:before="120" w:after="283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Filed by a Party other than the Registrant [ ]</w:t>
      </w:r>
    </w:p>
    <w:p>
      <w:pPr>
        <w:pStyle w:val="TextBody"/>
        <w:bidi w:val="0"/>
        <w:spacing w:lineRule="auto" w:line="288" w:before="120" w:after="24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Check the appropriate box: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</w:rPr>
        <w:t>[ ]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2"/>
        </w:rPr>
        <w:t>Preliminary Proxy Statement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</w:rPr>
        <w:t>[ ]</w:t>
      </w:r>
      <w:r>
        <w:rPr>
          <w:color w:val="000000"/>
        </w:rPr>
        <w:t>    </w:t>
      </w:r>
      <w:r>
        <w:rPr>
          <w:rFonts w:ascii="Times New Roman;serif" w:hAnsi="Times New Roman;serif"/>
          <w:b/>
          <w:color w:val="000000"/>
          <w:sz w:val="22"/>
        </w:rPr>
        <w:t>Confidential, for Use of the Commission Only (as permitted by Rule 14a-6(e)(2))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</w:rPr>
        <w:t>[ ]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2"/>
        </w:rPr>
        <w:t>Definitive Proxy Statement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</w:rPr>
        <w:t>[X]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2"/>
        </w:rPr>
        <w:t>Definitive Additional Materials</w:t>
      </w:r>
    </w:p>
    <w:p>
      <w:pPr>
        <w:pStyle w:val="TextBody"/>
        <w:bidi w:val="0"/>
        <w:spacing w:lineRule="auto" w:line="288" w:before="0" w:after="24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</w:rPr>
        <w:t>[ ]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2"/>
        </w:rPr>
        <w:t>Soliciting Material Pursuant to §240.14a-12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StoneX Group Inc.</w:t>
      </w:r>
    </w:p>
    <w:p>
      <w:pPr>
        <w:pStyle w:val="TextBody"/>
        <w:bidi w:val="0"/>
        <w:spacing w:lineRule="auto" w:line="288" w:before="0" w:after="48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(Name of Registrant as Specified in Its Charter)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Payment of Filing Fee (Check the appropriate box):</w:t>
      </w:r>
    </w:p>
    <w:p>
      <w:pPr>
        <w:pStyle w:val="TextBody"/>
        <w:bidi w:val="0"/>
        <w:spacing w:lineRule="auto" w:line="288" w:before="0" w:after="24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</w:rPr>
        <w:t>[X]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2"/>
        </w:rPr>
        <w:t>No fee required.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    Fee paid previously with preliminary materials.</w:t>
      </w:r>
    </w:p>
    <w:p>
      <w:pPr>
        <w:pStyle w:val="TextBody"/>
        <w:bidi w:val="0"/>
        <w:spacing w:lineRule="auto" w:line="288" w:before="0" w:after="240"/>
        <w:ind w:left="0" w:right="0" w:hanging="72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    Fee computed on table in exhibit required by Item 25(b) per Exchange Act Rules 14a-6(i)(1) and 0-11.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143</Words>
  <Characters>756</Characters>
  <CharactersWithSpaces>906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