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52006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20065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Rotsztain Diego</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230 PARK AVENUE</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StoneX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SNEX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05/18/2026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7"/>
          <w:szCs w:val="17"/>
          <w:color w:val="0000FF"/>
        </w:rPr>
        <w:t>Chief Governance/Legal Officer</w:t>
      </w:r>
    </w:p>
    <w:p>
      <w:pPr>
        <w:spacing w:after="0" w:line="39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480" w:type="dxa"/>
            <w:vAlign w:val="bottom"/>
            <w:gridSpan w:val="7"/>
          </w:tcPr>
          <w:p>
            <w:pPr>
              <w:jc w:val="center"/>
              <w:ind w:left="36"/>
              <w:spacing w:after="0"/>
              <w:rPr>
                <w:sz w:val="20"/>
                <w:szCs w:val="20"/>
                <w:color w:val="auto"/>
              </w:rPr>
            </w:pPr>
            <w:r>
              <w:rPr>
                <w:rFonts w:ascii="Arial" w:cs="Arial" w:eastAsia="Arial" w:hAnsi="Arial"/>
                <w:sz w:val="13"/>
                <w:szCs w:val="13"/>
                <w:color w:val="auto"/>
                <w:w w:val="98"/>
              </w:rPr>
              <w:t>4. If Amendment, Date of Original Filed (Month/Day/Year)</w:t>
            </w:r>
          </w:p>
        </w:tc>
        <w:tc>
          <w:tcPr>
            <w:tcW w:w="3840" w:type="dxa"/>
            <w:vAlign w:val="bottom"/>
            <w:gridSpan w:val="10"/>
          </w:tcPr>
          <w:p>
            <w:pPr>
              <w:ind w:left="5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10169</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840" w:type="dxa"/>
            <w:vAlign w:val="bottom"/>
            <w:tcBorders>
              <w:bottom w:val="single" w:sz="8" w:color="2C2C2C"/>
            </w:tcBorders>
            <w:gridSpan w:val="5"/>
          </w:tcPr>
          <w:p>
            <w:pPr>
              <w:spacing w:after="0"/>
              <w:rPr>
                <w:sz w:val="10"/>
                <w:szCs w:val="10"/>
                <w:color w:val="auto"/>
              </w:rPr>
            </w:pPr>
          </w:p>
        </w:tc>
        <w:tc>
          <w:tcPr>
            <w:tcW w:w="720" w:type="dxa"/>
            <w:vAlign w:val="bottom"/>
            <w:tcBorders>
              <w:bottom w:val="single" w:sz="8" w:color="2C2C2C"/>
            </w:tcBorders>
            <w:gridSpan w:val="3"/>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3"/>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3"/>
          </w:tcPr>
          <w:p>
            <w:pPr>
              <w:ind w:left="52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40" w:type="dxa"/>
            <w:vAlign w:val="bottom"/>
            <w:gridSpan w:val="3"/>
          </w:tcPr>
          <w:p>
            <w:pPr>
              <w:ind w:left="620"/>
              <w:spacing w:after="0"/>
              <w:rPr>
                <w:sz w:val="20"/>
                <w:szCs w:val="20"/>
                <w:color w:val="auto"/>
              </w:rPr>
            </w:pPr>
            <w:r>
              <w:rPr>
                <w:rFonts w:ascii="Times New Roman" w:cs="Times New Roman" w:eastAsia="Times New Roman" w:hAnsi="Times New Roman"/>
                <w:sz w:val="17"/>
                <w:szCs w:val="17"/>
                <w:color w:val="0000FF"/>
              </w:rPr>
              <w:t>05/18/2026</w:t>
            </w: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33,750</w:t>
            </w:r>
          </w:p>
        </w:tc>
        <w:tc>
          <w:tcPr>
            <w:tcW w:w="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tcPr>
          <w:p>
            <w:pPr>
              <w:jc w:val="center"/>
              <w:ind w:left="7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18.39</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56,997</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20"/>
              <w:spacing w:after="0"/>
              <w:rPr>
                <w:sz w:val="20"/>
                <w:szCs w:val="20"/>
                <w:color w:val="auto"/>
              </w:rPr>
            </w:pPr>
            <w:r>
              <w:rPr>
                <w:rFonts w:ascii="Times New Roman" w:cs="Times New Roman" w:eastAsia="Times New Roman" w:hAnsi="Times New Roman"/>
                <w:sz w:val="17"/>
                <w:szCs w:val="17"/>
                <w:color w:val="0000FF"/>
              </w:rPr>
              <w:t>05/18/2026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20,054</w:t>
            </w:r>
          </w:p>
        </w:tc>
        <w:tc>
          <w:tcPr>
            <w:tcW w:w="5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111.4836</w:t>
            </w:r>
            <w:r>
              <w:rPr>
                <w:rFonts w:ascii="Times New Roman" w:cs="Times New Roman" w:eastAsia="Times New Roman" w:hAnsi="Times New Roman"/>
                <w:sz w:val="21"/>
                <w:szCs w:val="21"/>
                <w:color w:val="008000"/>
                <w:w w:val="93"/>
                <w:vertAlign w:val="superscript"/>
              </w:rPr>
              <w:t>(1)</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36,943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20"/>
              <w:spacing w:after="0"/>
              <w:rPr>
                <w:sz w:val="20"/>
                <w:szCs w:val="20"/>
                <w:color w:val="auto"/>
              </w:rPr>
            </w:pPr>
            <w:r>
              <w:rPr>
                <w:rFonts w:ascii="Times New Roman" w:cs="Times New Roman" w:eastAsia="Times New Roman" w:hAnsi="Times New Roman"/>
                <w:sz w:val="17"/>
                <w:szCs w:val="17"/>
                <w:color w:val="0000FF"/>
              </w:rPr>
              <w:t>05/20/2026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13,696</w:t>
            </w:r>
          </w:p>
        </w:tc>
        <w:tc>
          <w:tcPr>
            <w:tcW w:w="5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112.7862</w:t>
            </w:r>
            <w:r>
              <w:rPr>
                <w:rFonts w:ascii="Times New Roman" w:cs="Times New Roman" w:eastAsia="Times New Roman" w:hAnsi="Times New Roman"/>
                <w:sz w:val="21"/>
                <w:szCs w:val="21"/>
                <w:color w:val="008000"/>
                <w:w w:val="93"/>
                <w:vertAlign w:val="superscript"/>
              </w:rPr>
              <w:t>(1)</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23,247</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3"/>
          </w:tcPr>
          <w:p>
            <w:pPr>
              <w:jc w:val="center"/>
              <w:ind w:right="7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7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gridSpan w:val="2"/>
          </w:tcPr>
          <w:p>
            <w:pPr>
              <w:ind w:left="20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gridSpan w:val="2"/>
          </w:tcPr>
          <w:p>
            <w:pPr>
              <w:ind w:left="20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800" w:type="dxa"/>
            <w:vAlign w:val="bottom"/>
            <w:gridSpan w:val="2"/>
          </w:tcPr>
          <w:p>
            <w:pPr>
              <w:ind w:left="20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18.39</w:t>
            </w:r>
          </w:p>
        </w:tc>
        <w:tc>
          <w:tcPr>
            <w:tcW w:w="140" w:type="dxa"/>
            <w:vAlign w:val="bottom"/>
          </w:tcPr>
          <w:p>
            <w:pPr>
              <w:spacing w:after="0"/>
              <w:rPr>
                <w:sz w:val="20"/>
                <w:szCs w:val="20"/>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05/18/2026</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20"/>
                <w:szCs w:val="20"/>
                <w:color w:val="auto"/>
              </w:rPr>
            </w:pP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0000FF"/>
              </w:rPr>
              <w:t>33,750</w:t>
            </w: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12/05/2026</w:t>
            </w:r>
          </w:p>
        </w:tc>
        <w:tc>
          <w:tcPr>
            <w:tcW w:w="7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12/05/2031</w:t>
            </w:r>
          </w:p>
        </w:tc>
        <w:tc>
          <w:tcPr>
            <w:tcW w:w="1300" w:type="dxa"/>
            <w:vAlign w:val="bottom"/>
            <w:gridSpan w:val="3"/>
          </w:tcPr>
          <w:p>
            <w:pPr>
              <w:ind w:left="80"/>
              <w:spacing w:after="0" w:line="232" w:lineRule="exact"/>
              <w:rPr>
                <w:sz w:val="20"/>
                <w:szCs w:val="20"/>
                <w:color w:val="auto"/>
              </w:rPr>
            </w:pPr>
            <w:r>
              <w:rPr>
                <w:rFonts w:ascii="Times New Roman" w:cs="Times New Roman" w:eastAsia="Times New Roman" w:hAnsi="Times New Roman"/>
                <w:sz w:val="25"/>
                <w:szCs w:val="25"/>
                <w:color w:val="0000FF"/>
                <w:vertAlign w:val="superscript"/>
              </w:rPr>
              <w:t>Common</w:t>
            </w:r>
            <w:r>
              <w:rPr>
                <w:rFonts w:ascii="Times New Roman" w:cs="Times New Roman" w:eastAsia="Times New Roman" w:hAnsi="Times New Roman"/>
                <w:sz w:val="17"/>
                <w:szCs w:val="17"/>
                <w:color w:val="0000FF"/>
              </w:rPr>
              <w:t xml:space="preserve">  33,750</w:t>
            </w:r>
          </w:p>
        </w:tc>
        <w:tc>
          <w:tcPr>
            <w:tcW w:w="120" w:type="dxa"/>
            <w:vAlign w:val="bottom"/>
          </w:tcPr>
          <w:p>
            <w:pPr>
              <w:spacing w:after="0"/>
              <w:rPr>
                <w:sz w:val="20"/>
                <w:szCs w:val="20"/>
                <w:color w:val="auto"/>
              </w:rPr>
            </w:pPr>
          </w:p>
        </w:tc>
        <w:tc>
          <w:tcPr>
            <w:tcW w:w="54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4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405,000</w:t>
            </w:r>
          </w:p>
        </w:tc>
        <w:tc>
          <w:tcPr>
            <w:tcW w:w="26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7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-1920240</wp:posOffset>
            </wp:positionV>
            <wp:extent cx="29210" cy="1925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253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6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an average price. The Reporting Person will provide to the Commission, the issuer and any stockholder, upon request, full information regarding the number of shares sold at each separate price.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Diego Rotsztain</w:t>
            </w:r>
          </w:p>
        </w:tc>
        <w:tc>
          <w:tcPr>
            <w:tcW w:w="112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05/20/2026</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11110" TargetMode="External"/><Relationship Id="rId14" Type="http://schemas.openxmlformats.org/officeDocument/2006/relationships/hyperlink" Target="http://www.sec.gov/cgi-bin/browse-edgar?action=getcompany&amp;CIK=0000913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2026-05-20T16:47:03Z</dcterms:created>
  <dcterms:modified xsi:type="dcterms:W3CDTF">2026-05-20T16:47:03Z</dcterms:modified>
</cp:coreProperties>
</file>