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87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872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Dunaway William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880"/>
        <w:spacing w:after="0" w:line="308" w:lineRule="auto"/>
        <w:rPr>
          <w:sz w:val="20"/>
          <w:szCs w:val="20"/>
          <w:color w:val="auto"/>
        </w:rPr>
      </w:pPr>
      <w:r>
        <w:rPr>
          <w:rFonts w:ascii="Times New Roman" w:cs="Times New Roman" w:eastAsia="Times New Roman" w:hAnsi="Times New Roman"/>
          <w:sz w:val="17"/>
          <w:szCs w:val="17"/>
          <w:color w:val="0000FF"/>
        </w:rPr>
        <w:t>1251 NW BRIARCLIFF PKWY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StoneX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80" w:type="dxa"/>
            <w:vAlign w:val="bottom"/>
            <w:gridSpan w:val="7"/>
          </w:tcPr>
          <w:p>
            <w:pPr>
              <w:jc w:val="center"/>
              <w:ind w:left="3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840" w:type="dxa"/>
            <w:vAlign w:val="bottom"/>
            <w:gridSpan w:val="10"/>
          </w:tcPr>
          <w:p>
            <w:pPr>
              <w:ind w:left="5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64116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540" w:type="dxa"/>
            <w:vAlign w:val="bottom"/>
            <w:gridSpan w:val="3"/>
          </w:tcPr>
          <w:p>
            <w:pPr>
              <w:ind w:left="6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84,375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13.34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357,961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20"/>
              <w:spacing w:after="0"/>
              <w:rPr>
                <w:sz w:val="20"/>
                <w:szCs w:val="20"/>
                <w:color w:val="auto"/>
              </w:rPr>
            </w:pPr>
            <w:r>
              <w:rPr>
                <w:rFonts w:ascii="Times New Roman" w:cs="Times New Roman" w:eastAsia="Times New Roman" w:hAnsi="Times New Roman"/>
                <w:sz w:val="17"/>
                <w:szCs w:val="17"/>
                <w:color w:val="0000FF"/>
              </w:rPr>
              <w:t>06/12/2026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63,602</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131.1596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294,359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jc w:val="center"/>
              <w:ind w:right="7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8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13.34</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0000FF"/>
              </w:rPr>
              <w:t>84,375</w:t>
            </w: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12/05/2021</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12/05/2026</w:t>
            </w:r>
          </w:p>
        </w:tc>
        <w:tc>
          <w:tcPr>
            <w:tcW w:w="1300" w:type="dxa"/>
            <w:vAlign w:val="bottom"/>
            <w:gridSpan w:val="3"/>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perscript"/>
              </w:rPr>
              <w:t>Common</w:t>
            </w:r>
            <w:r>
              <w:rPr>
                <w:rFonts w:ascii="Times New Roman" w:cs="Times New Roman" w:eastAsia="Times New Roman" w:hAnsi="Times New Roman"/>
                <w:sz w:val="17"/>
                <w:szCs w:val="17"/>
                <w:color w:val="0000FF"/>
              </w:rPr>
              <w:t xml:space="preserve">  84,375</w:t>
            </w:r>
          </w:p>
        </w:tc>
        <w:tc>
          <w:tcPr>
            <w:tcW w:w="120" w:type="dxa"/>
            <w:vAlign w:val="bottom"/>
          </w:tcPr>
          <w:p>
            <w:pPr>
              <w:spacing w:after="0"/>
              <w:rPr>
                <w:sz w:val="20"/>
                <w:szCs w:val="20"/>
                <w:color w:val="auto"/>
              </w:rPr>
            </w:pPr>
          </w:p>
        </w:tc>
        <w:tc>
          <w:tcPr>
            <w:tcW w:w="54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506,250</w:t>
            </w:r>
          </w:p>
        </w:tc>
        <w:tc>
          <w:tcPr>
            <w:tcW w:w="26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an average price. The Reporting Person will provide to the Commission, the issuer and any stockholder, upon request, full information regarding the number of shares sold at each separate price.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William J. Dunaway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06/15/2026</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5955" TargetMode="External"/><Relationship Id="rId14" Type="http://schemas.openxmlformats.org/officeDocument/2006/relationships/hyperlink" Target="http://www.sec.gov/cgi-bin/browse-edgar?action=getcompany&amp;CIK=0000913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2026-06-15T18:44:52Z</dcterms:created>
  <dcterms:modified xsi:type="dcterms:W3CDTF">2026-06-15T18:44:52Z</dcterms:modified>
</cp:coreProperties>
</file>