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100" w:after="10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_______________</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_______________</w:t>
      </w:r>
    </w:p>
    <w:p>
      <w:pPr>
        <w:pStyle w:val="TextBody"/>
        <w:bidi w:val="0"/>
        <w:spacing w:lineRule="auto" w:line="288" w:before="100" w:after="100"/>
        <w:jc w:val="center"/>
        <w:rPr>
          <w:rFonts w:ascii="Times New Roman;serif" w:hAnsi="Times New Roman;serif"/>
          <w:b/>
          <w:color w:val="000000"/>
          <w:sz w:val="28"/>
        </w:rPr>
      </w:pPr>
      <w:r>
        <w:rPr>
          <w:rFonts w:ascii="Times New Roman;serif" w:hAnsi="Times New Roman;serif"/>
          <w:b/>
          <w:color w:val="000000"/>
          <w:sz w:val="28"/>
        </w:rPr>
        <w:t xml:space="preserve">CURRENT REPORT </w:t>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5, 2026</w:t>
      </w:r>
    </w:p>
    <w:p>
      <w:pPr>
        <w:pStyle w:val="TextBody"/>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_______________</w:t>
      </w:r>
    </w:p>
    <w:p>
      <w:pPr>
        <w:pStyle w:val="TextBody"/>
        <w:bidi w:val="0"/>
        <w:spacing w:lineRule="auto" w:line="288" w:before="100" w:after="100"/>
        <w:jc w:val="center"/>
        <w:rPr>
          <w:rFonts w:ascii="Times New Roman;serif" w:hAnsi="Times New Roman;serif"/>
          <w:b/>
          <w:color w:val="000000"/>
          <w:sz w:val="36"/>
        </w:rPr>
      </w:pPr>
      <w:r>
        <w:rPr>
          <w:rFonts w:ascii="Times New Roman;serif" w:hAnsi="Times New Roman;serif"/>
          <w:b/>
          <w:color w:val="000000"/>
          <w:sz w:val="36"/>
        </w:rPr>
        <w:t xml:space="preserve">StoneX Group Inc.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_______________</w:t>
      </w:r>
    </w:p>
    <w:tbl>
      <w:tblPr>
        <w:tblW w:w="6742" w:type="dxa"/>
        <w:jc w:val="center"/>
        <w:tblInd w:w="0" w:type="dxa"/>
        <w:tblLayout w:type="fixed"/>
        <w:tblCellMar>
          <w:top w:w="28" w:type="dxa"/>
          <w:left w:w="28" w:type="dxa"/>
          <w:bottom w:w="28" w:type="dxa"/>
          <w:right w:w="28" w:type="dxa"/>
        </w:tblCellMar>
      </w:tblPr>
      <w:tblGrid>
        <w:gridCol w:w="705"/>
        <w:gridCol w:w="618"/>
        <w:gridCol w:w="627"/>
        <w:gridCol w:w="109"/>
        <w:gridCol w:w="109"/>
        <w:gridCol w:w="109"/>
        <w:gridCol w:w="727"/>
        <w:gridCol w:w="727"/>
        <w:gridCol w:w="735"/>
        <w:gridCol w:w="109"/>
        <w:gridCol w:w="109"/>
        <w:gridCol w:w="109"/>
        <w:gridCol w:w="569"/>
        <w:gridCol w:w="569"/>
        <w:gridCol w:w="811"/>
      </w:tblGrid>
      <w:tr>
        <w:trPr/>
        <w:tc>
          <w:tcPr>
            <w:tcW w:w="70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000-23554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59-2921318</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 ID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230 Park Ave, 10th Floor </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 xml:space="preserve">New York, NY 10169 </w:t>
      </w:r>
    </w:p>
    <w:p>
      <w:pPr>
        <w:pStyle w:val="TextBody"/>
        <w:bidi w:val="0"/>
        <w:spacing w:lineRule="auto" w:line="288" w:before="100" w:after="100"/>
        <w:jc w:val="center"/>
        <w:rPr>
          <w:rFonts w:ascii="Times New Roman;serif" w:hAnsi="Times New Roman;serif"/>
          <w:b/>
          <w:color w:val="000000"/>
          <w:sz w:val="18"/>
        </w:rPr>
      </w:pPr>
      <w:r>
        <w:rPr>
          <w:rFonts w:ascii="Times New Roman;serif" w:hAnsi="Times New Roman;serif"/>
          <w:b/>
          <w:color w:val="000000"/>
          <w:sz w:val="18"/>
        </w:rPr>
        <w:t xml:space="preserve">(Address of principal executive offices, including Zip Code) </w:t>
      </w:r>
    </w:p>
    <w:p>
      <w:pPr>
        <w:pStyle w:val="TextBody"/>
        <w:bidi w:val="0"/>
        <w:spacing w:lineRule="auto" w:line="288" w:before="100" w:after="100"/>
        <w:jc w:val="center"/>
        <w:rPr/>
      </w:pPr>
      <w:r>
        <w:rPr>
          <w:rFonts w:ascii="Times New Roman;serif" w:hAnsi="Times New Roman;serif"/>
          <w:b/>
          <w:color w:val="000000"/>
          <w:sz w:val="20"/>
        </w:rPr>
        <w:t>(212</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 xml:space="preserve">485-3500 </w:t>
      </w:r>
    </w:p>
    <w:p>
      <w:pPr>
        <w:pStyle w:val="TextBody"/>
        <w:bidi w:val="0"/>
        <w:spacing w:lineRule="auto" w:line="288" w:before="100" w:after="100"/>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w:t>
      </w:r>
    </w:p>
    <w:p>
      <w:pPr>
        <w:pStyle w:val="TextBody"/>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_______________</w:t>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7751" w:type="dxa"/>
        <w:jc w:val="center"/>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center"/>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386" w:type="dxa"/>
        <w:jc w:val="center"/>
        <w:tblInd w:w="0" w:type="dxa"/>
        <w:tblLayout w:type="fixed"/>
        <w:tblCellMar>
          <w:top w:w="28" w:type="dxa"/>
          <w:left w:w="28" w:type="dxa"/>
          <w:bottom w:w="28" w:type="dxa"/>
          <w:right w:w="28" w:type="dxa"/>
        </w:tblCellMar>
      </w:tblPr>
      <w:tblGrid>
        <w:gridCol w:w="124"/>
        <w:gridCol w:w="109"/>
        <w:gridCol w:w="109"/>
        <w:gridCol w:w="2649"/>
        <w:gridCol w:w="2649"/>
        <w:gridCol w:w="37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center"/>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08" w:type="dxa"/>
        <w:jc w:val="left"/>
        <w:tblInd w:w="0" w:type="dxa"/>
        <w:tblLayout w:type="fixed"/>
        <w:tblCellMar>
          <w:top w:w="28" w:type="dxa"/>
          <w:left w:w="28" w:type="dxa"/>
          <w:bottom w:w="28" w:type="dxa"/>
          <w:right w:w="28" w:type="dxa"/>
        </w:tblCellMar>
      </w:tblPr>
      <w:tblGrid>
        <w:gridCol w:w="990"/>
        <w:gridCol w:w="865"/>
        <w:gridCol w:w="875"/>
        <w:gridCol w:w="109"/>
        <w:gridCol w:w="109"/>
        <w:gridCol w:w="109"/>
        <w:gridCol w:w="499"/>
        <w:gridCol w:w="499"/>
        <w:gridCol w:w="501"/>
        <w:gridCol w:w="109"/>
        <w:gridCol w:w="109"/>
        <w:gridCol w:w="109"/>
        <w:gridCol w:w="1118"/>
        <w:gridCol w:w="1118"/>
        <w:gridCol w:w="1589"/>
      </w:tblGrid>
      <w:tr>
        <w:trPr/>
        <w:tc>
          <w:tcPr>
            <w:tcW w:w="99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SNEX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5, 2026, the StoneX Group Inc. (the “Company”) issued a press release on the subject of the Company's results of operations and financial condition for the fiscal quarter ended June 30, 2026.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press release is attached hereto as Exhibit 99.1 and incorporated by reference herein.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furnished under this Item 2.02,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 </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Exhibit No.</w:t>
      </w:r>
    </w:p>
    <w:p>
      <w:pPr>
        <w:pStyle w:val="TextBody"/>
        <w:bidi w:val="0"/>
        <w:spacing w:lineRule="auto" w:line="288" w:before="100" w:after="100"/>
        <w:jc w:val="left"/>
        <w:rPr/>
      </w:pPr>
      <w:r>
        <w:rPr>
          <w:rFonts w:ascii="Times New Roman;serif" w:hAnsi="Times New Roman;serif"/>
          <w:b w:val="false"/>
          <w:color w:val="000000"/>
          <w:sz w:val="20"/>
        </w:rPr>
        <w:t>99.1     </w:t>
      </w:r>
      <w:hyperlink w:anchor="snex2026er_exhq3roll.htm">
        <w:r>
          <w:rPr>
            <w:rStyle w:val="InternetLink"/>
            <w:rFonts w:ascii="Times New Roman;serif" w:hAnsi="Times New Roman;serif"/>
            <w:b w:val="false"/>
            <w:color w:val="0000FF"/>
            <w:sz w:val="20"/>
            <w:u w:val="single"/>
          </w:rPr>
          <w:t>Press release dated August 5, 2026.</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8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582" w:type="dxa"/>
        <w:jc w:val="center"/>
        <w:tblInd w:w="0" w:type="dxa"/>
        <w:tblLayout w:type="fixed"/>
        <w:tblCellMar>
          <w:top w:w="28" w:type="dxa"/>
          <w:left w:w="28" w:type="dxa"/>
          <w:bottom w:w="28" w:type="dxa"/>
          <w:right w:w="28" w:type="dxa"/>
        </w:tblCellMar>
      </w:tblPr>
      <w:tblGrid>
        <w:gridCol w:w="124"/>
        <w:gridCol w:w="109"/>
        <w:gridCol w:w="109"/>
        <w:gridCol w:w="449"/>
        <w:gridCol w:w="449"/>
        <w:gridCol w:w="451"/>
        <w:gridCol w:w="109"/>
        <w:gridCol w:w="109"/>
        <w:gridCol w:w="109"/>
        <w:gridCol w:w="751"/>
        <w:gridCol w:w="751"/>
        <w:gridCol w:w="10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StoneX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WILLIAM J. DUNAWAY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William J. Dunaway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drawing>
          <wp:inline distT="0" distB="0" distL="0" distR="0">
            <wp:extent cx="1619250" cy="381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19250" cy="3810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499" w:type="dxa"/>
        <w:jc w:val="center"/>
        <w:tblInd w:w="0" w:type="dxa"/>
        <w:tblLayout w:type="fixed"/>
        <w:tblCellMar>
          <w:top w:w="28" w:type="dxa"/>
          <w:left w:w="28" w:type="dxa"/>
          <w:bottom w:w="28" w:type="dxa"/>
          <w:right w:w="28" w:type="dxa"/>
        </w:tblCellMar>
      </w:tblPr>
      <w:tblGrid>
        <w:gridCol w:w="2396"/>
        <w:gridCol w:w="2106"/>
        <w:gridCol w:w="2997"/>
      </w:tblGrid>
      <w:tr>
        <w:trPr/>
        <w:tc>
          <w:tcPr>
            <w:tcW w:w="2396"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24"/>
              </w:rPr>
            </w:pPr>
            <w:r>
              <w:rPr>
                <w:rFonts w:ascii="Times New Roman;serif" w:hAnsi="Times New Roman;serif"/>
                <w:b/>
                <w:color w:val="000000"/>
                <w:sz w:val="24"/>
              </w:rPr>
              <w:t>StoneX Group Inc. Reports Fiscal 2026 Third Quarter Financial Results</w:t>
            </w:r>
          </w:p>
        </w:tc>
      </w:tr>
    </w:tbl>
    <w:p>
      <w:pPr>
        <w:pStyle w:val="TextBody"/>
        <w:bidi w:val="0"/>
        <w:spacing w:before="0" w:after="0"/>
        <w:jc w:val="center"/>
        <w:rPr/>
      </w:pPr>
      <w:r>
        <w:rPr/>
      </w:r>
    </w:p>
    <w:p>
      <w:pPr>
        <w:pStyle w:val="TextBody"/>
        <w:bidi w:val="0"/>
        <w:spacing w:lineRule="auto" w:line="288" w:before="0" w:after="100"/>
        <w:jc w:val="center"/>
        <w:rPr>
          <w:rFonts w:ascii="Times New Roman;serif" w:hAnsi="Times New Roman;serif"/>
          <w:b/>
          <w:i/>
          <w:color w:val="000000"/>
          <w:sz w:val="20"/>
        </w:rPr>
      </w:pPr>
      <w:r>
        <w:rPr>
          <w:rFonts w:ascii="Times New Roman;serif" w:hAnsi="Times New Roman;serif"/>
          <w:b/>
          <w:i/>
          <w:color w:val="000000"/>
          <w:sz w:val="20"/>
        </w:rPr>
        <w:t xml:space="preserve">Quarterly Net Operating Revenues of $719.7 million, up 47% </w:t>
      </w:r>
    </w:p>
    <w:p>
      <w:pPr>
        <w:pStyle w:val="TextBody"/>
        <w:bidi w:val="0"/>
        <w:spacing w:lineRule="auto" w:line="288" w:before="100" w:after="100"/>
        <w:jc w:val="center"/>
        <w:rPr>
          <w:rFonts w:ascii="Times New Roman;serif" w:hAnsi="Times New Roman;serif"/>
          <w:b/>
          <w:i/>
          <w:color w:val="000000"/>
          <w:sz w:val="20"/>
        </w:rPr>
      </w:pPr>
      <w:r>
        <w:rPr>
          <w:rFonts w:ascii="Times New Roman;serif" w:hAnsi="Times New Roman;serif"/>
          <w:b/>
          <w:i/>
          <w:color w:val="000000"/>
          <w:sz w:val="20"/>
        </w:rPr>
        <w:t>Quarterly Net Income of $127.9 million, Quarterly ROE of 18.4%</w:t>
      </w:r>
    </w:p>
    <w:p>
      <w:pPr>
        <w:pStyle w:val="TextBody"/>
        <w:bidi w:val="0"/>
        <w:spacing w:lineRule="auto" w:line="288" w:before="100" w:after="283"/>
        <w:jc w:val="center"/>
        <w:rPr>
          <w:rFonts w:ascii="Times New Roman;serif" w:hAnsi="Times New Roman;serif"/>
          <w:b/>
          <w:i/>
          <w:color w:val="000000"/>
          <w:sz w:val="20"/>
        </w:rPr>
      </w:pPr>
      <w:r>
        <w:rPr>
          <w:rFonts w:ascii="Times New Roman;serif" w:hAnsi="Times New Roman;serif"/>
          <w:b/>
          <w:i/>
          <w:color w:val="000000"/>
          <w:sz w:val="20"/>
        </w:rPr>
        <w:t>Quarterly Diluted EPS of $1.00 per share</w:t>
      </w:r>
    </w:p>
    <w:p>
      <w:pPr>
        <w:pStyle w:val="TextBody"/>
        <w:bidi w:val="0"/>
        <w:spacing w:before="100" w:after="283"/>
        <w:jc w:val="center"/>
        <w:rPr/>
      </w:pPr>
      <w:r>
        <w:rPr/>
      </w:r>
    </w:p>
    <w:p>
      <w:pPr>
        <w:pStyle w:val="TextBody"/>
        <w:bidi w:val="0"/>
        <w:spacing w:before="100" w:after="100"/>
        <w:jc w:val="center"/>
        <w:rPr/>
      </w:pPr>
      <w:r>
        <w:rPr/>
      </w:r>
    </w:p>
    <w:p>
      <w:pPr>
        <w:pStyle w:val="TextBody"/>
        <w:bidi w:val="0"/>
        <w:spacing w:lineRule="auto" w:line="288" w:before="180" w:after="120"/>
        <w:jc w:val="left"/>
        <w:rPr/>
      </w:pPr>
      <w:r>
        <w:rPr>
          <w:rFonts w:ascii="Times New Roman;serif" w:hAnsi="Times New Roman;serif"/>
          <w:b/>
          <w:color w:val="000000"/>
          <w:sz w:val="20"/>
        </w:rPr>
        <w:t xml:space="preserve">NEW YORK – August 5, 2026 </w:t>
      </w:r>
      <w:r>
        <w:rPr>
          <w:color w:val="000000"/>
        </w:rPr>
        <w:t xml:space="preserve">– </w:t>
      </w:r>
      <w:r>
        <w:rPr>
          <w:rFonts w:ascii="Times New Roman;serif" w:hAnsi="Times New Roman;serif"/>
          <w:b w:val="false"/>
          <w:color w:val="000000"/>
          <w:sz w:val="20"/>
        </w:rPr>
        <w:t>StoneX Group Inc. (the “Company”; NASDAQ: SNEX), a leading financial services franchise connecting clients to global markets, today announced its financial results for the fiscal 2026 third quarter ended June 30, 2026.</w:t>
      </w:r>
    </w:p>
    <w:p>
      <w:pPr>
        <w:pStyle w:val="TextBody"/>
        <w:bidi w:val="0"/>
        <w:spacing w:lineRule="auto" w:line="268" w:before="0" w:after="0"/>
        <w:jc w:val="left"/>
        <w:rPr/>
      </w:pPr>
      <w:r>
        <w:rPr>
          <w:color w:val="000000"/>
          <w:shd w:fill="FFFFFF" w:val="clear"/>
        </w:rPr>
        <w:t>“</w:t>
      </w:r>
      <w:r>
        <w:rPr>
          <w:rFonts w:ascii="Times New Roman;serif" w:hAnsi="Times New Roman;serif"/>
          <w:b w:val="false"/>
          <w:color w:val="000000"/>
          <w:sz w:val="20"/>
          <w:shd w:fill="FFFFFF" w:val="clear"/>
        </w:rPr>
        <w:t>We are pleased to report another strong quarter of year-over-year growth in the third quarter of fiscal 2026,</w:t>
      </w:r>
      <w:r>
        <w:rPr>
          <w:color w:val="000000"/>
        </w:rPr>
        <w:t xml:space="preserve">” </w:t>
      </w:r>
      <w:r>
        <w:rPr>
          <w:rFonts w:ascii="Times New Roman;serif" w:hAnsi="Times New Roman;serif"/>
          <w:b w:val="false"/>
          <w:color w:val="000000"/>
          <w:sz w:val="20"/>
        </w:rPr>
        <w:t>said Philip Smith, the Company’s Chief Executive Officer. “We continue to deliver double-digit growth in our Commercial, Institutional and Payments segments, reflecting the increasing value of the StoneX ecosystem to our expanding client base. We are also beginning to realize the benefits of the successful integration of the R.J. O’Brien acquisition, further strengthening our market position and establishing StoneX as the largest non-bank FCM,” continued Mr. Smith. “We believe the depth and breadth of our ecosystem continues to position us for growth and we remain focused on providing our clients with best-in-class service and execution,” Mr. Smith concluded.</w:t>
      </w:r>
    </w:p>
    <w:p>
      <w:pPr>
        <w:pStyle w:val="TextBody"/>
        <w:bidi w:val="0"/>
        <w:spacing w:before="0" w:after="1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 xml:space="preserve">StoneX Group Inc. Summary Financials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financial statements for the Company will be included in our Quarterly Report on Form 10-Q to be filed with the Securities and Exchange Commission (the “SEC”). Upon filing, the Quarterly Report on Form 10-Q will also be made available on the Company’s website at www.stonex.com. </w:t>
      </w:r>
    </w:p>
    <w:tbl>
      <w:tblPr>
        <w:tblW w:w="10205" w:type="dxa"/>
        <w:jc w:val="left"/>
        <w:tblInd w:w="0" w:type="dxa"/>
        <w:tblLayout w:type="fixed"/>
        <w:tblCellMar>
          <w:top w:w="28" w:type="dxa"/>
          <w:left w:w="28" w:type="dxa"/>
          <w:bottom w:w="28" w:type="dxa"/>
          <w:right w:w="28" w:type="dxa"/>
        </w:tblCellMar>
      </w:tblPr>
      <w:tblGrid>
        <w:gridCol w:w="1111"/>
        <w:gridCol w:w="668"/>
        <w:gridCol w:w="670"/>
        <w:gridCol w:w="196"/>
        <w:gridCol w:w="781"/>
        <w:gridCol w:w="241"/>
        <w:gridCol w:w="109"/>
        <w:gridCol w:w="109"/>
        <w:gridCol w:w="109"/>
        <w:gridCol w:w="196"/>
        <w:gridCol w:w="781"/>
        <w:gridCol w:w="241"/>
        <w:gridCol w:w="109"/>
        <w:gridCol w:w="109"/>
        <w:gridCol w:w="109"/>
        <w:gridCol w:w="185"/>
        <w:gridCol w:w="185"/>
        <w:gridCol w:w="186"/>
        <w:gridCol w:w="109"/>
        <w:gridCol w:w="109"/>
        <w:gridCol w:w="109"/>
        <w:gridCol w:w="196"/>
        <w:gridCol w:w="871"/>
        <w:gridCol w:w="241"/>
        <w:gridCol w:w="109"/>
        <w:gridCol w:w="109"/>
        <w:gridCol w:w="109"/>
        <w:gridCol w:w="196"/>
        <w:gridCol w:w="781"/>
        <w:gridCol w:w="241"/>
        <w:gridCol w:w="109"/>
        <w:gridCol w:w="109"/>
        <w:gridCol w:w="109"/>
        <w:gridCol w:w="176"/>
        <w:gridCol w:w="176"/>
        <w:gridCol w:w="251"/>
      </w:tblGrid>
      <w:tr>
        <w:trPr/>
        <w:tc>
          <w:tcPr>
            <w:tcW w:w="11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 June 30,</w:t>
            </w:r>
          </w:p>
        </w:tc>
      </w:tr>
      <w:tr>
        <w:trPr/>
        <w:tc>
          <w:tcPr>
            <w:tcW w:w="2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(Unaudited) (in millions, except share and per share amounts)</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w:t>
              <w:br/>
              <w:t>Change</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38,772.3 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33,839.9 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120,758.3 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96,883.6 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gains,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and clearing fees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Consulting, management, and account fees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40,193.0 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34,828.8 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124,983.8 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99,654.8 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38,725.0 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33,804.5 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120,510.8 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96,730.2 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2,924.6 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corporate funding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contribution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1,564.8 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systems and market information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Non-trading technology and support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 and equipment rental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Travel and business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448%</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fixed compensation and other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(losses) gains,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tax</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Earnings per share:</w:t>
            </w:r>
            <w:r>
              <w:rPr>
                <w:rFonts w:ascii="Times New Roman;serif" w:hAnsi="Times New Roman;serif"/>
                <w:b w:val="false"/>
                <w:color w:val="000000"/>
                <w:sz w:val="10"/>
              </w:rPr>
              <w:t>(1)</w:t>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Weighted-average number of common shares outstanding:</w:t>
            </w:r>
            <w:r>
              <w:rPr>
                <w:rFonts w:ascii="Times New Roman;serif" w:hAnsi="Times New Roman;serif"/>
                <w:b w:val="false"/>
                <w:color w:val="000000"/>
                <w:sz w:val="10"/>
              </w:rPr>
              <w:t>(1)</w:t>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115,856,734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106,010,592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114,793,795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105,240,726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21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124,482,194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112,392,368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122,666,708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110,931,142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Return on equity (“ROE”)</w:t>
            </w:r>
            <w:r>
              <w:rPr>
                <w:rFonts w:ascii="Times New Roman;serif" w:hAnsi="Times New Roman;serif"/>
                <w:b w:val="false"/>
                <w:color w:val="000000"/>
                <w:sz w:val="10"/>
              </w:rPr>
              <w:t>(2)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ROE on tangible book value</w:t>
            </w:r>
            <w:r>
              <w:rPr>
                <w:rFonts w:ascii="Times New Roman;serif" w:hAnsi="Times New Roman;serif"/>
                <w:b w:val="false"/>
                <w:color w:val="000000"/>
                <w:sz w:val="10"/>
              </w:rPr>
              <w:t>(2)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i/>
                <w:color w:val="000000"/>
                <w:sz w:val="16"/>
              </w:rPr>
            </w:pPr>
            <w:r>
              <w:rPr>
                <w:rFonts w:ascii="Times New Roman;serif" w:hAnsi="Times New Roman;serif"/>
                <w:b w:val="false"/>
                <w:i/>
                <w:color w:val="000000"/>
                <w:sz w:val="16"/>
              </w:rPr>
              <w:t>n/m = not meaningful to present as a percentage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 July 17, 2026 and March 20, 2026, the Company effected three-for-two stock dividends to stockholders of record as of July 7, 2026 and March 10, 2026, respectively. The stock splits increased the number of shares of common stock outstanding. All share and per share amounts have been retroactively adjusted for the stock splits.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Company calculates ROE on stated book value based on net income divided by the average stockholders’ equity, calculated based on average monthly total stockholders’ equity amounts. For the calculation of ROE on tangible book value, the amount of goodwill and intangibles, net is excluded from stockholders’ equity.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consolidated operating revenues by segment for the periods indicated.</w:t>
      </w:r>
    </w:p>
    <w:tbl>
      <w:tblPr>
        <w:tblW w:w="10205" w:type="dxa"/>
        <w:jc w:val="center"/>
        <w:tblInd w:w="0" w:type="dxa"/>
        <w:tblLayout w:type="fixed"/>
        <w:tblCellMar>
          <w:top w:w="28" w:type="dxa"/>
          <w:left w:w="28" w:type="dxa"/>
          <w:bottom w:w="28" w:type="dxa"/>
          <w:right w:w="28" w:type="dxa"/>
        </w:tblCellMar>
      </w:tblPr>
      <w:tblGrid>
        <w:gridCol w:w="1014"/>
        <w:gridCol w:w="862"/>
        <w:gridCol w:w="861"/>
        <w:gridCol w:w="196"/>
        <w:gridCol w:w="691"/>
        <w:gridCol w:w="109"/>
        <w:gridCol w:w="109"/>
        <w:gridCol w:w="109"/>
        <w:gridCol w:w="109"/>
        <w:gridCol w:w="196"/>
        <w:gridCol w:w="691"/>
        <w:gridCol w:w="109"/>
        <w:gridCol w:w="109"/>
        <w:gridCol w:w="109"/>
        <w:gridCol w:w="109"/>
        <w:gridCol w:w="310"/>
        <w:gridCol w:w="310"/>
        <w:gridCol w:w="311"/>
        <w:gridCol w:w="109"/>
        <w:gridCol w:w="109"/>
        <w:gridCol w:w="109"/>
        <w:gridCol w:w="196"/>
        <w:gridCol w:w="691"/>
        <w:gridCol w:w="109"/>
        <w:gridCol w:w="109"/>
        <w:gridCol w:w="109"/>
        <w:gridCol w:w="109"/>
        <w:gridCol w:w="196"/>
        <w:gridCol w:w="691"/>
        <w:gridCol w:w="109"/>
        <w:gridCol w:w="109"/>
        <w:gridCol w:w="109"/>
        <w:gridCol w:w="109"/>
        <w:gridCol w:w="268"/>
        <w:gridCol w:w="268"/>
        <w:gridCol w:w="382"/>
      </w:tblGrid>
      <w:tr>
        <w:trPr/>
        <w:tc>
          <w:tcPr>
            <w:tcW w:w="101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Segment operating revenues represented by:</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Institutional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Self-Directed/Retail</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r>
    </w:tbl>
    <w:p>
      <w:pPr>
        <w:pStyle w:val="TextBody"/>
        <w:bidi w:val="0"/>
        <w:spacing w:before="0" w:after="0"/>
        <w:jc w:val="center"/>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consolidated income by segment for the periods indicated.</w:t>
      </w:r>
    </w:p>
    <w:tbl>
      <w:tblPr>
        <w:tblW w:w="9821" w:type="dxa"/>
        <w:jc w:val="center"/>
        <w:tblInd w:w="0" w:type="dxa"/>
        <w:tblLayout w:type="fixed"/>
        <w:tblCellMar>
          <w:top w:w="28" w:type="dxa"/>
          <w:left w:w="28" w:type="dxa"/>
          <w:bottom w:w="28" w:type="dxa"/>
          <w:right w:w="28" w:type="dxa"/>
        </w:tblCellMar>
      </w:tblPr>
      <w:tblGrid>
        <w:gridCol w:w="1000"/>
        <w:gridCol w:w="879"/>
        <w:gridCol w:w="881"/>
        <w:gridCol w:w="196"/>
        <w:gridCol w:w="556"/>
        <w:gridCol w:w="109"/>
        <w:gridCol w:w="109"/>
        <w:gridCol w:w="109"/>
        <w:gridCol w:w="109"/>
        <w:gridCol w:w="196"/>
        <w:gridCol w:w="556"/>
        <w:gridCol w:w="109"/>
        <w:gridCol w:w="109"/>
        <w:gridCol w:w="109"/>
        <w:gridCol w:w="109"/>
        <w:gridCol w:w="310"/>
        <w:gridCol w:w="310"/>
        <w:gridCol w:w="311"/>
        <w:gridCol w:w="109"/>
        <w:gridCol w:w="109"/>
        <w:gridCol w:w="109"/>
        <w:gridCol w:w="196"/>
        <w:gridCol w:w="691"/>
        <w:gridCol w:w="109"/>
        <w:gridCol w:w="109"/>
        <w:gridCol w:w="109"/>
        <w:gridCol w:w="109"/>
        <w:gridCol w:w="196"/>
        <w:gridCol w:w="556"/>
        <w:gridCol w:w="109"/>
        <w:gridCol w:w="109"/>
        <w:gridCol w:w="109"/>
        <w:gridCol w:w="109"/>
        <w:gridCol w:w="268"/>
        <w:gridCol w:w="268"/>
        <w:gridCol w:w="380"/>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Segment income represented by:</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Institutional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Self-Directed/Retail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606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of segment income to income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operating loss within Corporate</w:t>
            </w:r>
            <w:r>
              <w:rPr>
                <w:color w:val="000000"/>
              </w:rPr>
              <w:t xml:space="preserve"> </w:t>
            </w:r>
            <w:r>
              <w:rPr>
                <w:rFonts w:ascii="Times New Roman;serif" w:hAnsi="Times New Roman;serif"/>
                <w:b w:val="false"/>
                <w:color w:val="000000"/>
                <w:sz w:val="10"/>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Overhead costs, net of shared services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tax</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w:t>
            </w:r>
          </w:p>
        </w:tc>
      </w:tr>
    </w:tbl>
    <w:tbl>
      <w:tblPr>
        <w:tblW w:w="3792" w:type="dxa"/>
        <w:jc w:val="center"/>
        <w:tblInd w:w="0" w:type="dxa"/>
        <w:tblLayout w:type="fixed"/>
        <w:tblCellMar>
          <w:top w:w="28" w:type="dxa"/>
          <w:left w:w="28" w:type="dxa"/>
          <w:bottom w:w="28" w:type="dxa"/>
          <w:right w:w="28" w:type="dxa"/>
        </w:tblCellMar>
      </w:tblPr>
      <w:tblGrid>
        <w:gridCol w:w="124"/>
        <w:gridCol w:w="109"/>
        <w:gridCol w:w="109"/>
        <w:gridCol w:w="278"/>
        <w:gridCol w:w="278"/>
        <w:gridCol w:w="278"/>
        <w:gridCol w:w="278"/>
        <w:gridCol w:w="278"/>
        <w:gridCol w:w="278"/>
        <w:gridCol w:w="278"/>
        <w:gridCol w:w="278"/>
        <w:gridCol w:w="278"/>
        <w:gridCol w:w="278"/>
        <w:gridCol w:w="278"/>
        <w:gridCol w:w="3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345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Includes interest expense on corporate funding.</w:t>
            </w:r>
          </w:p>
        </w:tc>
      </w:tr>
    </w:tbl>
    <w:p>
      <w:pPr>
        <w:pStyle w:val="TextBody"/>
        <w:bidi w:val="0"/>
        <w:spacing w:before="20" w:after="283"/>
        <w:jc w:val="left"/>
        <w:rPr/>
      </w:pPr>
      <w:r>
        <w:rPr/>
      </w:r>
    </w:p>
    <w:p>
      <w:pPr>
        <w:pStyle w:val="TextBody"/>
        <w:bidi w:val="0"/>
        <w:spacing w:before="20" w:after="283"/>
        <w:jc w:val="left"/>
        <w:rPr/>
      </w:pPr>
      <w:r>
        <w:rPr/>
      </w: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0" w:after="283"/>
        <w:jc w:val="left"/>
        <w:rPr>
          <w:rFonts w:ascii="Times New Roman;serif" w:hAnsi="Times New Roman;serif"/>
          <w:b/>
          <w:color w:val="000000"/>
          <w:sz w:val="20"/>
          <w:u w:val="single"/>
        </w:rPr>
      </w:pPr>
      <w:r>
        <w:rPr>
          <w:rFonts w:ascii="Times New Roman;serif" w:hAnsi="Times New Roman;serif"/>
          <w:b/>
          <w:color w:val="000000"/>
          <w:sz w:val="20"/>
          <w:u w:val="single"/>
        </w:rPr>
        <w:t>Key Operating Metrics</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tables below present operating revenues disaggregated across the key products we provide to our clients and select operating data and metrics used by management in evaluating our performance, for the periods indicated. </w:t>
      </w:r>
    </w:p>
    <w:tbl>
      <w:tblPr>
        <w:tblW w:w="10205" w:type="dxa"/>
        <w:jc w:val="left"/>
        <w:tblInd w:w="0" w:type="dxa"/>
        <w:tblLayout w:type="fixed"/>
        <w:tblCellMar>
          <w:top w:w="28" w:type="dxa"/>
          <w:left w:w="28" w:type="dxa"/>
          <w:bottom w:w="28" w:type="dxa"/>
          <w:right w:w="28" w:type="dxa"/>
        </w:tblCellMar>
      </w:tblPr>
      <w:tblGrid>
        <w:gridCol w:w="1162"/>
        <w:gridCol w:w="814"/>
        <w:gridCol w:w="821"/>
        <w:gridCol w:w="196"/>
        <w:gridCol w:w="691"/>
        <w:gridCol w:w="109"/>
        <w:gridCol w:w="109"/>
        <w:gridCol w:w="109"/>
        <w:gridCol w:w="109"/>
        <w:gridCol w:w="196"/>
        <w:gridCol w:w="691"/>
        <w:gridCol w:w="109"/>
        <w:gridCol w:w="109"/>
        <w:gridCol w:w="109"/>
        <w:gridCol w:w="109"/>
        <w:gridCol w:w="290"/>
        <w:gridCol w:w="290"/>
        <w:gridCol w:w="291"/>
        <w:gridCol w:w="109"/>
        <w:gridCol w:w="109"/>
        <w:gridCol w:w="109"/>
        <w:gridCol w:w="196"/>
        <w:gridCol w:w="691"/>
        <w:gridCol w:w="109"/>
        <w:gridCol w:w="109"/>
        <w:gridCol w:w="109"/>
        <w:gridCol w:w="109"/>
        <w:gridCol w:w="196"/>
        <w:gridCol w:w="691"/>
        <w:gridCol w:w="109"/>
        <w:gridCol w:w="109"/>
        <w:gridCol w:w="109"/>
        <w:gridCol w:w="109"/>
        <w:gridCol w:w="268"/>
        <w:gridCol w:w="268"/>
        <w:gridCol w:w="382"/>
      </w:tblGrid>
      <w:tr>
        <w:trPr/>
        <w:tc>
          <w:tcPr>
            <w:tcW w:w="116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Revenues (in millions):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138%</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Over-the-counter (“OTC”) derivatives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FX/Contracts for difference (“CFD”) contracts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Physical contracts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109%</w:t>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Interest/fees earned on client balances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w:t>
            </w:r>
            <w:r>
              <w:rPr>
                <w:rFonts w:ascii="Times New Roman;serif" w:hAnsi="Times New Roman;serif"/>
                <w:b w:val="false"/>
                <w:color w:val="000000"/>
                <w:sz w:val="10"/>
              </w:rPr>
              <w:t>(1)</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Volumes and Other Select Data: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Listed derivatives (contracts, 000’s)</w:t>
            </w:r>
            <w:r>
              <w:rPr>
                <w:rFonts w:ascii="Times New Roman;serif" w:hAnsi="Times New Roman;serif"/>
                <w:b w:val="false"/>
                <w:color w:val="000000"/>
                <w:sz w:val="10"/>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Listed derivatives, average rate per contract (“RPC”)</w:t>
            </w:r>
            <w:r>
              <w:rPr>
                <w:rFonts w:ascii="Times New Roman;serif" w:hAnsi="Times New Roman;serif"/>
                <w:b w:val="false"/>
                <w:color w:val="000000"/>
                <w:sz w:val="10"/>
              </w:rPr>
              <w:t>(3)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client equity - listed derivatives (millions)</w:t>
            </w:r>
            <w:r>
              <w:rPr>
                <w:rFonts w:ascii="Times New Roman;serif" w:hAnsi="Times New Roman;serif"/>
                <w:b w:val="false"/>
                <w:color w:val="000000"/>
                <w:sz w:val="10"/>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w:t>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 (contracts, 000’s)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 average RPC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average daily volume (“ADV”) (millions)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Securities rate per million (“RPM”)</w:t>
            </w:r>
            <w:r>
              <w:rPr>
                <w:rFonts w:ascii="Times New Roman;serif" w:hAnsi="Times New Roman;serif"/>
                <w:b w:val="false"/>
                <w:color w:val="000000"/>
                <w:sz w:val="10"/>
              </w:rPr>
              <w:t>(4)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money market/FDIC sweep client balances (millions)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FX/CFD contracts ADV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FX/CFD contracts RPM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ADV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RPM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EBITDA (in millions)</w:t>
            </w:r>
            <w:r>
              <w:rPr>
                <w:rFonts w:ascii="Times New Roman;serif" w:hAnsi="Times New Roman;serif"/>
                <w:b w:val="false"/>
                <w:color w:val="000000"/>
                <w:sz w:val="10"/>
              </w:rPr>
              <w:t>(5)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operating revenue primarily includes consulting, management and account fees related to prime services, investment banking and advisory services, as well as interest income associated with securities lending activities.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acquisition of the R.J. O’Brien global business (“RJO”), effective July 31, 2025, contributed 32.0 million and 100.8 million listed derivative contracts and $6.6 billion and $6.3 billion in average client equity for the three and nine months ended June 30, 2026,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Give-up fee revenues, related to contract execution for clients of other FCMs, as well as cash and voice brokerage revenues are excluded from the calculation of listed derivatives, average rate per contract.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Interest expense associated with our fixed income activities is deducted from operating revenues in the calculation of Securities RPM while interest income related to securities lending is excluded.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12"/>
            <w:tcBorders/>
            <w:tcMar>
              <w:top w:w="0" w:type="dxa"/>
              <w:left w:w="0" w:type="dxa"/>
              <w:bottom w:w="0" w:type="dxa"/>
              <w:right w:w="0" w:type="dxa"/>
            </w:tcMar>
            <w:vAlign w:val="center"/>
          </w:tcPr>
          <w:p>
            <w:pPr>
              <w:pStyle w:val="TableContents"/>
              <w:bidi w:val="0"/>
              <w:spacing w:lineRule="auto" w:line="240" w:before="120" w:after="200"/>
              <w:jc w:val="left"/>
              <w:rPr>
                <w:rFonts w:ascii="Times New Roman;serif" w:hAnsi="Times New Roman;serif"/>
                <w:b w:val="false"/>
                <w:color w:val="000000"/>
                <w:sz w:val="16"/>
              </w:rPr>
            </w:pPr>
            <w:r>
              <w:rPr>
                <w:rFonts w:ascii="Times New Roman;serif" w:hAnsi="Times New Roman;serif"/>
                <w:b w:val="false"/>
                <w:color w:val="000000"/>
                <w:sz w:val="16"/>
              </w:rPr>
              <w:t>Adjusted EBITDA is a non-GAAP measure. See Appendix - Non-GAAP Financial Information for further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Interest expense</w:t>
      </w:r>
    </w:p>
    <w:tbl>
      <w:tblPr>
        <w:tblW w:w="10205" w:type="dxa"/>
        <w:jc w:val="left"/>
        <w:tblInd w:w="0" w:type="dxa"/>
        <w:tblLayout w:type="fixed"/>
        <w:tblCellMar>
          <w:top w:w="28" w:type="dxa"/>
          <w:left w:w="28" w:type="dxa"/>
          <w:bottom w:w="28" w:type="dxa"/>
          <w:right w:w="28" w:type="dxa"/>
        </w:tblCellMar>
      </w:tblPr>
      <w:tblGrid>
        <w:gridCol w:w="1145"/>
        <w:gridCol w:w="980"/>
        <w:gridCol w:w="939"/>
        <w:gridCol w:w="196"/>
        <w:gridCol w:w="556"/>
        <w:gridCol w:w="109"/>
        <w:gridCol w:w="109"/>
        <w:gridCol w:w="109"/>
        <w:gridCol w:w="109"/>
        <w:gridCol w:w="196"/>
        <w:gridCol w:w="556"/>
        <w:gridCol w:w="109"/>
        <w:gridCol w:w="109"/>
        <w:gridCol w:w="109"/>
        <w:gridCol w:w="109"/>
        <w:gridCol w:w="206"/>
        <w:gridCol w:w="206"/>
        <w:gridCol w:w="459"/>
        <w:gridCol w:w="109"/>
        <w:gridCol w:w="109"/>
        <w:gridCol w:w="109"/>
        <w:gridCol w:w="196"/>
        <w:gridCol w:w="691"/>
        <w:gridCol w:w="109"/>
        <w:gridCol w:w="109"/>
        <w:gridCol w:w="109"/>
        <w:gridCol w:w="109"/>
        <w:gridCol w:w="196"/>
        <w:gridCol w:w="691"/>
        <w:gridCol w:w="109"/>
        <w:gridCol w:w="109"/>
        <w:gridCol w:w="109"/>
        <w:gridCol w:w="109"/>
        <w:gridCol w:w="199"/>
        <w:gridCol w:w="199"/>
        <w:gridCol w:w="523"/>
      </w:tblGrid>
      <w:tr>
        <w:trPr/>
        <w:tc>
          <w:tcPr>
            <w:tcW w:w="114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attributable to:</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Institutional dealer in fixed income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Client balances on deposit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financing facilities of subsidiaries and other direct interest of operating segments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funding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interest expense attributable to fixed income securities and securities borrowing was principally due to the growth in the size of the security repo and securities lending businesses. The business activities of RJO added an incremental $27.4 million and $80.5 million of interest expense, with $25.1 million and $73.0 million attributable to client balances for the three and nine months ended June 30, 2026.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interest expense attributable to corporate funding was principally due to the issuance of $625 million in aggregate principal amount of the Notes due 2032, which closed on July 8, 2025. The three and nine months ended June 30, 2025 included $6.5 million of bridge loan financing fees related to the June 2025 renewal of the corporate revolving credit facility and the issuance of the Notes due 2032.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table below presents a disaggregation of consolidated net operating revenues used by management in evaluating our performance, for the periods indicated:</w:t>
      </w:r>
    </w:p>
    <w:tbl>
      <w:tblPr>
        <w:tblW w:w="10205" w:type="dxa"/>
        <w:jc w:val="left"/>
        <w:tblInd w:w="0" w:type="dxa"/>
        <w:tblLayout w:type="fixed"/>
        <w:tblCellMar>
          <w:top w:w="28" w:type="dxa"/>
          <w:left w:w="28" w:type="dxa"/>
          <w:bottom w:w="28" w:type="dxa"/>
          <w:right w:w="28" w:type="dxa"/>
        </w:tblCellMar>
      </w:tblPr>
      <w:tblGrid>
        <w:gridCol w:w="1110"/>
        <w:gridCol w:w="977"/>
        <w:gridCol w:w="981"/>
        <w:gridCol w:w="196"/>
        <w:gridCol w:w="556"/>
        <w:gridCol w:w="109"/>
        <w:gridCol w:w="109"/>
        <w:gridCol w:w="109"/>
        <w:gridCol w:w="109"/>
        <w:gridCol w:w="196"/>
        <w:gridCol w:w="556"/>
        <w:gridCol w:w="109"/>
        <w:gridCol w:w="109"/>
        <w:gridCol w:w="109"/>
        <w:gridCol w:w="109"/>
        <w:gridCol w:w="290"/>
        <w:gridCol w:w="290"/>
        <w:gridCol w:w="291"/>
        <w:gridCol w:w="109"/>
        <w:gridCol w:w="109"/>
        <w:gridCol w:w="109"/>
        <w:gridCol w:w="196"/>
        <w:gridCol w:w="691"/>
        <w:gridCol w:w="109"/>
        <w:gridCol w:w="109"/>
        <w:gridCol w:w="109"/>
        <w:gridCol w:w="109"/>
        <w:gridCol w:w="196"/>
        <w:gridCol w:w="691"/>
        <w:gridCol w:w="109"/>
        <w:gridCol w:w="109"/>
        <w:gridCol w:w="109"/>
        <w:gridCol w:w="109"/>
        <w:gridCol w:w="268"/>
        <w:gridCol w:w="268"/>
        <w:gridCol w:w="381"/>
      </w:tblGrid>
      <w:tr>
        <w:trPr/>
        <w:tc>
          <w:tcPr>
            <w:tcW w:w="111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w:t>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FX/CFD contracts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Physical contracts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144%</w:t>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net / fees earned on client balances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color w:val="000000"/>
              </w:rPr>
              <w:t xml:space="preserve"> </w:t>
            </w:r>
            <w:r>
              <w:rPr>
                <w:rFonts w:ascii="Times New Roman;serif" w:hAnsi="Times New Roman;serif"/>
                <w:b w:val="false"/>
                <w:color w:val="000000"/>
                <w:sz w:val="10"/>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w:t>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w:t>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net operating revenues primarily includes consulting, management and account fees related to prime services, investment banking and advisory services, as well as interest income, net of interest expense associated with securities lending activities and subordinated debt.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Variable vs. Fixed Expenses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our variable expenses and non-variable expenses as a percentage of total non-interest expenses for the periods indicated.</w:t>
      </w:r>
    </w:p>
    <w:tbl>
      <w:tblPr>
        <w:tblW w:w="10205" w:type="dxa"/>
        <w:jc w:val="left"/>
        <w:tblInd w:w="0" w:type="dxa"/>
        <w:tblLayout w:type="fixed"/>
        <w:tblCellMar>
          <w:top w:w="28" w:type="dxa"/>
          <w:left w:w="28" w:type="dxa"/>
          <w:bottom w:w="28" w:type="dxa"/>
          <w:right w:w="28" w:type="dxa"/>
        </w:tblCellMar>
      </w:tblPr>
      <w:tblGrid>
        <w:gridCol w:w="849"/>
        <w:gridCol w:w="641"/>
        <w:gridCol w:w="649"/>
        <w:gridCol w:w="196"/>
        <w:gridCol w:w="556"/>
        <w:gridCol w:w="109"/>
        <w:gridCol w:w="109"/>
        <w:gridCol w:w="109"/>
        <w:gridCol w:w="109"/>
        <w:gridCol w:w="167"/>
        <w:gridCol w:w="167"/>
        <w:gridCol w:w="169"/>
        <w:gridCol w:w="109"/>
        <w:gridCol w:w="109"/>
        <w:gridCol w:w="109"/>
        <w:gridCol w:w="196"/>
        <w:gridCol w:w="556"/>
        <w:gridCol w:w="109"/>
        <w:gridCol w:w="109"/>
        <w:gridCol w:w="109"/>
        <w:gridCol w:w="109"/>
        <w:gridCol w:w="167"/>
        <w:gridCol w:w="167"/>
        <w:gridCol w:w="169"/>
        <w:gridCol w:w="109"/>
        <w:gridCol w:w="109"/>
        <w:gridCol w:w="109"/>
        <w:gridCol w:w="196"/>
        <w:gridCol w:w="691"/>
        <w:gridCol w:w="109"/>
        <w:gridCol w:w="109"/>
        <w:gridCol w:w="109"/>
        <w:gridCol w:w="109"/>
        <w:gridCol w:w="167"/>
        <w:gridCol w:w="167"/>
        <w:gridCol w:w="169"/>
        <w:gridCol w:w="109"/>
        <w:gridCol w:w="109"/>
        <w:gridCol w:w="109"/>
        <w:gridCol w:w="196"/>
        <w:gridCol w:w="691"/>
        <w:gridCol w:w="109"/>
        <w:gridCol w:w="109"/>
        <w:gridCol w:w="109"/>
        <w:gridCol w:w="109"/>
        <w:gridCol w:w="160"/>
        <w:gridCol w:w="160"/>
        <w:gridCol w:w="234"/>
      </w:tblGrid>
      <w:tr>
        <w:trPr/>
        <w:tc>
          <w:tcPr>
            <w:tcW w:w="84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variable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non-variable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Other (Losses) Gains, net</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results of the three months ended June 30, 2026 included a $1.5 million charge on the abandonment of certain capitalized expenditures and an equity investment loss of $0.2 million. The results of the three months ended June 30, 2025 included a $2.3 million loss on disposal of certain capitalized hardware expenditures, partially offset by a gain of $1.0 million resulting from proceeds received from a class action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Segment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activities are managed through four operating segments, including Commercial, Institutional, Self-Directed/Retail and Payments.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tables below present the financial performance, a disaggregation of operating revenues, select operating data and metrics, and a disaggregation of net operating revenue used by management in evaluating the performance of our segments, for the periods indicated.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 period ended September 30, 2025, our acquisition of RJO triggered a reassessment of the financial information reviewed by management. We determined the acquired business activities of RJO were similar to our existing businesses, and the reassessment confirmed the current composition of the Company’s operating segments, except for one change resulting in the combination of all physical trading capabilities in precious metals being reported within the Commercial segment. Previously, the Self-Directed/Retail segment contained a portion of our precious metals activities. All segment information has been revised to reflect all precious metals business within the Commercial segment retroactive to October 1, 2024.</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information on the performance of our segments will be included in our Quarterly Report on Form 10-Q to be filed with the SEC. </w:t>
      </w: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Commercial</w:t>
      </w:r>
    </w:p>
    <w:tbl>
      <w:tblPr>
        <w:tblW w:w="10205" w:type="dxa"/>
        <w:jc w:val="center"/>
        <w:tblInd w:w="0" w:type="dxa"/>
        <w:tblLayout w:type="fixed"/>
        <w:tblCellMar>
          <w:top w:w="28" w:type="dxa"/>
          <w:left w:w="28" w:type="dxa"/>
          <w:bottom w:w="28" w:type="dxa"/>
          <w:right w:w="28" w:type="dxa"/>
        </w:tblCellMar>
      </w:tblPr>
      <w:tblGrid>
        <w:gridCol w:w="1124"/>
        <w:gridCol w:w="610"/>
        <w:gridCol w:w="614"/>
        <w:gridCol w:w="196"/>
        <w:gridCol w:w="781"/>
        <w:gridCol w:w="109"/>
        <w:gridCol w:w="109"/>
        <w:gridCol w:w="109"/>
        <w:gridCol w:w="109"/>
        <w:gridCol w:w="196"/>
        <w:gridCol w:w="781"/>
        <w:gridCol w:w="109"/>
        <w:gridCol w:w="109"/>
        <w:gridCol w:w="109"/>
        <w:gridCol w:w="109"/>
        <w:gridCol w:w="290"/>
        <w:gridCol w:w="290"/>
        <w:gridCol w:w="291"/>
        <w:gridCol w:w="109"/>
        <w:gridCol w:w="109"/>
        <w:gridCol w:w="109"/>
        <w:gridCol w:w="196"/>
        <w:gridCol w:w="871"/>
        <w:gridCol w:w="109"/>
        <w:gridCol w:w="109"/>
        <w:gridCol w:w="109"/>
        <w:gridCol w:w="109"/>
        <w:gridCol w:w="196"/>
        <w:gridCol w:w="781"/>
        <w:gridCol w:w="109"/>
        <w:gridCol w:w="109"/>
        <w:gridCol w:w="109"/>
        <w:gridCol w:w="109"/>
        <w:gridCol w:w="268"/>
        <w:gridCol w:w="268"/>
        <w:gridCol w:w="381"/>
      </w:tblGrid>
      <w:tr>
        <w:trPr/>
        <w:tc>
          <w:tcPr>
            <w:tcW w:w="112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gains,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120%</w:t>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and clearing fees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w:t>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Consulting, management and account fees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w:t>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contribution</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Non-variable direct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gains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w:t>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overhead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 less allocation of overhead costs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w:t>
            </w:r>
          </w:p>
        </w:tc>
      </w:tr>
    </w:tbl>
    <w:tbl>
      <w:tblPr>
        <w:tblW w:w="10205" w:type="dxa"/>
        <w:jc w:val="center"/>
        <w:tblInd w:w="0" w:type="dxa"/>
        <w:tblLayout w:type="fixed"/>
        <w:tblCellMar>
          <w:top w:w="28" w:type="dxa"/>
          <w:left w:w="28" w:type="dxa"/>
          <w:bottom w:w="28" w:type="dxa"/>
          <w:right w:w="28" w:type="dxa"/>
        </w:tblCellMar>
      </w:tblPr>
      <w:tblGrid>
        <w:gridCol w:w="1164"/>
        <w:gridCol w:w="1016"/>
        <w:gridCol w:w="1023"/>
        <w:gridCol w:w="196"/>
        <w:gridCol w:w="556"/>
        <w:gridCol w:w="109"/>
        <w:gridCol w:w="109"/>
        <w:gridCol w:w="109"/>
        <w:gridCol w:w="109"/>
        <w:gridCol w:w="196"/>
        <w:gridCol w:w="556"/>
        <w:gridCol w:w="109"/>
        <w:gridCol w:w="109"/>
        <w:gridCol w:w="109"/>
        <w:gridCol w:w="109"/>
        <w:gridCol w:w="290"/>
        <w:gridCol w:w="290"/>
        <w:gridCol w:w="291"/>
        <w:gridCol w:w="109"/>
        <w:gridCol w:w="109"/>
        <w:gridCol w:w="109"/>
        <w:gridCol w:w="196"/>
        <w:gridCol w:w="691"/>
        <w:gridCol w:w="109"/>
        <w:gridCol w:w="109"/>
        <w:gridCol w:w="109"/>
        <w:gridCol w:w="109"/>
        <w:gridCol w:w="196"/>
        <w:gridCol w:w="556"/>
        <w:gridCol w:w="109"/>
        <w:gridCol w:w="109"/>
        <w:gridCol w:w="109"/>
        <w:gridCol w:w="109"/>
        <w:gridCol w:w="268"/>
        <w:gridCol w:w="268"/>
        <w:gridCol w:w="381"/>
      </w:tblGrid>
      <w:tr>
        <w:trPr/>
        <w:tc>
          <w:tcPr>
            <w:tcW w:w="116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Physical contracts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109%</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Interest/fees earned on client balances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1" w:type="dxa"/>
            <w:gridSpan w:val="3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Volumes and Other Select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Listed derivatives (contracts, 000’s)</w:t>
            </w:r>
            <w:r>
              <w:rPr>
                <w:rFonts w:ascii="Times New Roman;serif" w:hAnsi="Times New Roman;serif"/>
                <w:b w:val="false"/>
                <w:color w:val="000000"/>
                <w:sz w:val="10"/>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Listed derivatives, average RPC</w:t>
            </w:r>
            <w:r>
              <w:rPr>
                <w:rFonts w:ascii="Times New Roman;serif" w:hAnsi="Times New Roman;serif"/>
                <w:b w:val="false"/>
                <w:color w:val="000000"/>
                <w:sz w:val="10"/>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client equity - listed derivatives (millions)</w:t>
            </w:r>
            <w:r>
              <w:rPr>
                <w:rFonts w:ascii="Times New Roman;serif" w:hAnsi="Times New Roman;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147%</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 (contracts, 000’s)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 average RPC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acquisition of RJO, effective July 31, 2025, contributed 5.0 million and 15.9 million listed derivative contracts and $2.1 billion and $2.1 billion in average client equity for the three and nine months ended June 30, 2026,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Give-up fee revenues, related to contract execution for clients of other FCMs, as well as cash and voice brokerage revenues are excluded from the calculation of listed derivatives, average RPC.</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2717" w:type="dxa"/>
            <w:gridSpan w:val="3"/>
            <w:tcBorders/>
            <w:vAlign w:val="center"/>
          </w:tcPr>
          <w:p>
            <w:pPr>
              <w:pStyle w:val="TableContents"/>
              <w:bidi w:val="0"/>
              <w:spacing w:before="0" w:after="283"/>
              <w:jc w:val="left"/>
              <w:rPr>
                <w:sz w:val="4"/>
                <w:szCs w:val="4"/>
              </w:rPr>
            </w:pPr>
            <w:r>
              <w:rPr>
                <w:sz w:val="4"/>
                <w:szCs w:val="4"/>
              </w:rPr>
            </w:r>
          </w:p>
        </w:tc>
      </w:tr>
    </w:tbl>
    <w:tbl>
      <w:tblPr>
        <w:tblW w:w="9851" w:type="dxa"/>
        <w:jc w:val="center"/>
        <w:tblInd w:w="0" w:type="dxa"/>
        <w:tblLayout w:type="fixed"/>
        <w:tblCellMar>
          <w:top w:w="28" w:type="dxa"/>
          <w:left w:w="28" w:type="dxa"/>
          <w:bottom w:w="28" w:type="dxa"/>
          <w:right w:w="28" w:type="dxa"/>
        </w:tblCellMar>
      </w:tblPr>
      <w:tblGrid>
        <w:gridCol w:w="1031"/>
        <w:gridCol w:w="906"/>
        <w:gridCol w:w="913"/>
        <w:gridCol w:w="196"/>
        <w:gridCol w:w="556"/>
        <w:gridCol w:w="109"/>
        <w:gridCol w:w="109"/>
        <w:gridCol w:w="109"/>
        <w:gridCol w:w="109"/>
        <w:gridCol w:w="196"/>
        <w:gridCol w:w="556"/>
        <w:gridCol w:w="109"/>
        <w:gridCol w:w="109"/>
        <w:gridCol w:w="109"/>
        <w:gridCol w:w="109"/>
        <w:gridCol w:w="290"/>
        <w:gridCol w:w="290"/>
        <w:gridCol w:w="291"/>
        <w:gridCol w:w="109"/>
        <w:gridCol w:w="109"/>
        <w:gridCol w:w="109"/>
        <w:gridCol w:w="196"/>
        <w:gridCol w:w="691"/>
        <w:gridCol w:w="109"/>
        <w:gridCol w:w="109"/>
        <w:gridCol w:w="109"/>
        <w:gridCol w:w="109"/>
        <w:gridCol w:w="196"/>
        <w:gridCol w:w="556"/>
        <w:gridCol w:w="109"/>
        <w:gridCol w:w="109"/>
        <w:gridCol w:w="109"/>
        <w:gridCol w:w="109"/>
        <w:gridCol w:w="268"/>
        <w:gridCol w:w="268"/>
        <w:gridCol w:w="380"/>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Physical contracts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Interest/fees earned on client balances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w:t>
            </w:r>
          </w:p>
        </w:tc>
      </w:tr>
    </w:tbl>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Institutional</w:t>
      </w:r>
    </w:p>
    <w:tbl>
      <w:tblPr>
        <w:tblW w:w="10205" w:type="dxa"/>
        <w:jc w:val="left"/>
        <w:tblInd w:w="0" w:type="dxa"/>
        <w:tblLayout w:type="fixed"/>
        <w:tblCellMar>
          <w:top w:w="28" w:type="dxa"/>
          <w:left w:w="28" w:type="dxa"/>
          <w:bottom w:w="28" w:type="dxa"/>
          <w:right w:w="28" w:type="dxa"/>
        </w:tblCellMar>
      </w:tblPr>
      <w:tblGrid>
        <w:gridCol w:w="1458"/>
        <w:gridCol w:w="983"/>
        <w:gridCol w:w="987"/>
        <w:gridCol w:w="196"/>
        <w:gridCol w:w="556"/>
        <w:gridCol w:w="109"/>
        <w:gridCol w:w="109"/>
        <w:gridCol w:w="109"/>
        <w:gridCol w:w="109"/>
        <w:gridCol w:w="196"/>
        <w:gridCol w:w="46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1"/>
      </w:tblGrid>
      <w:tr>
        <w:trPr/>
        <w:tc>
          <w:tcPr>
            <w:tcW w:w="145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gains,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and clearing fees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Consulting, management and account fees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contribution</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Non-variable direct expenses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overhead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 less allocation of overhead costs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bl>
    <w:tbl>
      <w:tblPr>
        <w:tblW w:w="10205" w:type="dxa"/>
        <w:jc w:val="center"/>
        <w:tblInd w:w="0" w:type="dxa"/>
        <w:tblLayout w:type="fixed"/>
        <w:tblCellMar>
          <w:top w:w="28" w:type="dxa"/>
          <w:left w:w="28" w:type="dxa"/>
          <w:bottom w:w="28" w:type="dxa"/>
          <w:right w:w="28" w:type="dxa"/>
        </w:tblCellMar>
      </w:tblPr>
      <w:tblGrid>
        <w:gridCol w:w="1089"/>
        <w:gridCol w:w="941"/>
        <w:gridCol w:w="947"/>
        <w:gridCol w:w="196"/>
        <w:gridCol w:w="646"/>
        <w:gridCol w:w="109"/>
        <w:gridCol w:w="109"/>
        <w:gridCol w:w="109"/>
        <w:gridCol w:w="109"/>
        <w:gridCol w:w="196"/>
        <w:gridCol w:w="556"/>
        <w:gridCol w:w="109"/>
        <w:gridCol w:w="109"/>
        <w:gridCol w:w="109"/>
        <w:gridCol w:w="109"/>
        <w:gridCol w:w="290"/>
        <w:gridCol w:w="290"/>
        <w:gridCol w:w="291"/>
        <w:gridCol w:w="109"/>
        <w:gridCol w:w="109"/>
        <w:gridCol w:w="109"/>
        <w:gridCol w:w="196"/>
        <w:gridCol w:w="691"/>
        <w:gridCol w:w="109"/>
        <w:gridCol w:w="109"/>
        <w:gridCol w:w="109"/>
        <w:gridCol w:w="109"/>
        <w:gridCol w:w="196"/>
        <w:gridCol w:w="691"/>
        <w:gridCol w:w="109"/>
        <w:gridCol w:w="109"/>
        <w:gridCol w:w="109"/>
        <w:gridCol w:w="109"/>
        <w:gridCol w:w="268"/>
        <w:gridCol w:w="268"/>
        <w:gridCol w:w="382"/>
      </w:tblGrid>
      <w:tr>
        <w:trPr/>
        <w:tc>
          <w:tcPr>
            <w:tcW w:w="108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Revenues (in millions):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172%</w:t>
            </w:r>
          </w:p>
        </w:tc>
      </w:tr>
      <w:tr>
        <w:trPr/>
        <w:tc>
          <w:tcPr>
            <w:tcW w:w="29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 contracts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Interest/fees earned on client balances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Volumes and Other Select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Listed derivatives (contracts, 000’s)</w:t>
            </w:r>
            <w:r>
              <w:rPr>
                <w:rFonts w:ascii="Times New Roman;serif" w:hAnsi="Times New Roman;serif"/>
                <w:b w:val="false"/>
                <w:color w:val="000000"/>
                <w:sz w:val="10"/>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Listed derivatives, average RPC</w:t>
            </w:r>
            <w:r>
              <w:rPr>
                <w:rFonts w:ascii="Times New Roman;serif" w:hAnsi="Times New Roman;serif"/>
                <w:b w:val="false"/>
                <w:color w:val="000000"/>
                <w:sz w:val="10"/>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client equity - listed derivatives (millions)</w:t>
            </w:r>
            <w:r>
              <w:rPr>
                <w:rFonts w:ascii="Times New Roman;serif" w:hAnsi="Times New Roman;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ADV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Securities RPM</w:t>
            </w:r>
            <w:r>
              <w:rPr>
                <w:rFonts w:ascii="Times New Roman;serif" w:hAnsi="Times New Roman;serif"/>
                <w:b w:val="false"/>
                <w:color w:val="000000"/>
                <w:sz w:val="10"/>
              </w:rPr>
              <w:t>(3)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money market/FDIC sweep client balances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 contracts ADV (millions)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 contracts RPM</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acquisition of RJO, effective July 31, 2025, contributed 27.0 million and 84.9 million listed derivative contracts and $4.5 billion and $4.1 billion in average client equity for the three and nine months ended June 30, 2026,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Give-up fees, related to contract execution for clients of other FCMs, are excluded from the calculation of listed derivatives, average RPC.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associated with our fixed income activities is deducted from operating revenues in the calculation of Securities RPM, while interest income related to securities lending is excluded.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7481" w:type="dxa"/>
            <w:gridSpan w:val="9"/>
            <w:tcBorders/>
          </w:tcPr>
          <w:p>
            <w:pPr>
              <w:pStyle w:val="TableContents"/>
              <w:bidi w:val="0"/>
              <w:spacing w:before="0" w:after="283"/>
              <w:jc w:val="left"/>
              <w:rPr>
                <w:sz w:val="4"/>
                <w:szCs w:val="4"/>
              </w:rPr>
            </w:pPr>
            <w:r>
              <w:rPr>
                <w:sz w:val="4"/>
                <w:szCs w:val="4"/>
              </w:rPr>
            </w:r>
          </w:p>
        </w:tc>
      </w:tr>
    </w:tbl>
    <w:tbl>
      <w:tblPr>
        <w:tblW w:w="9716" w:type="dxa"/>
        <w:jc w:val="center"/>
        <w:tblInd w:w="0" w:type="dxa"/>
        <w:tblLayout w:type="fixed"/>
        <w:tblCellMar>
          <w:top w:w="28" w:type="dxa"/>
          <w:left w:w="28" w:type="dxa"/>
          <w:bottom w:w="28" w:type="dxa"/>
          <w:right w:w="28" w:type="dxa"/>
        </w:tblCellMar>
      </w:tblPr>
      <w:tblGrid>
        <w:gridCol w:w="1031"/>
        <w:gridCol w:w="906"/>
        <w:gridCol w:w="913"/>
        <w:gridCol w:w="196"/>
        <w:gridCol w:w="556"/>
        <w:gridCol w:w="109"/>
        <w:gridCol w:w="109"/>
        <w:gridCol w:w="109"/>
        <w:gridCol w:w="109"/>
        <w:gridCol w:w="196"/>
        <w:gridCol w:w="55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0"/>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357%</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 contracts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Interest/fees earned on client balances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160%</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bl>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0" w:after="283"/>
        <w:jc w:val="left"/>
        <w:rPr>
          <w:rFonts w:ascii="Times New Roman;serif" w:hAnsi="Times New Roman;serif"/>
          <w:b/>
          <w:color w:val="000000"/>
          <w:sz w:val="20"/>
        </w:rPr>
      </w:pPr>
      <w:r>
        <w:rPr>
          <w:rFonts w:ascii="Times New Roman;serif" w:hAnsi="Times New Roman;serif"/>
          <w:b/>
          <w:color w:val="000000"/>
          <w:sz w:val="20"/>
        </w:rPr>
        <w:t>Self-Directed/Retail</w:t>
      </w:r>
    </w:p>
    <w:tbl>
      <w:tblPr>
        <w:tblW w:w="10030" w:type="dxa"/>
        <w:jc w:val="center"/>
        <w:tblInd w:w="0" w:type="dxa"/>
        <w:tblLayout w:type="fixed"/>
        <w:tblCellMar>
          <w:top w:w="28" w:type="dxa"/>
          <w:left w:w="28" w:type="dxa"/>
          <w:bottom w:w="28" w:type="dxa"/>
          <w:right w:w="28" w:type="dxa"/>
        </w:tblCellMar>
      </w:tblPr>
      <w:tblGrid>
        <w:gridCol w:w="1506"/>
        <w:gridCol w:w="1037"/>
        <w:gridCol w:w="1041"/>
        <w:gridCol w:w="196"/>
        <w:gridCol w:w="406"/>
        <w:gridCol w:w="109"/>
        <w:gridCol w:w="109"/>
        <w:gridCol w:w="109"/>
        <w:gridCol w:w="109"/>
        <w:gridCol w:w="196"/>
        <w:gridCol w:w="466"/>
        <w:gridCol w:w="109"/>
        <w:gridCol w:w="109"/>
        <w:gridCol w:w="109"/>
        <w:gridCol w:w="109"/>
        <w:gridCol w:w="290"/>
        <w:gridCol w:w="290"/>
        <w:gridCol w:w="291"/>
        <w:gridCol w:w="109"/>
        <w:gridCol w:w="109"/>
        <w:gridCol w:w="109"/>
        <w:gridCol w:w="196"/>
        <w:gridCol w:w="466"/>
        <w:gridCol w:w="109"/>
        <w:gridCol w:w="109"/>
        <w:gridCol w:w="109"/>
        <w:gridCol w:w="109"/>
        <w:gridCol w:w="196"/>
        <w:gridCol w:w="466"/>
        <w:gridCol w:w="109"/>
        <w:gridCol w:w="109"/>
        <w:gridCol w:w="109"/>
        <w:gridCol w:w="109"/>
        <w:gridCol w:w="268"/>
        <w:gridCol w:w="268"/>
        <w:gridCol w:w="380"/>
      </w:tblGrid>
      <w:tr>
        <w:trPr/>
        <w:tc>
          <w:tcPr>
            <w:tcW w:w="150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gains, net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and clearing fees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Consulting, management and account fees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contribution</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expenses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Non-variable direct expenses</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gain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overhead costs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 less allocation of overhead costs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r>
    </w:tbl>
    <w:tbl>
      <w:tblPr>
        <w:tblW w:w="9595" w:type="dxa"/>
        <w:jc w:val="center"/>
        <w:tblInd w:w="0" w:type="dxa"/>
        <w:tblLayout w:type="fixed"/>
        <w:tblCellMar>
          <w:top w:w="28" w:type="dxa"/>
          <w:left w:w="28" w:type="dxa"/>
          <w:bottom w:w="28" w:type="dxa"/>
          <w:right w:w="28" w:type="dxa"/>
        </w:tblCellMar>
      </w:tblPr>
      <w:tblGrid>
        <w:gridCol w:w="987"/>
        <w:gridCol w:w="868"/>
        <w:gridCol w:w="874"/>
        <w:gridCol w:w="196"/>
        <w:gridCol w:w="556"/>
        <w:gridCol w:w="109"/>
        <w:gridCol w:w="109"/>
        <w:gridCol w:w="109"/>
        <w:gridCol w:w="109"/>
        <w:gridCol w:w="196"/>
        <w:gridCol w:w="55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0"/>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FX/CFD contracts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Interest/fees earned on client balances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2"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Volumes and Other Select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FX/CFD contracts ADV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FX/CFD contracts RPM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bl>
    <w:p>
      <w:pPr>
        <w:pStyle w:val="TextBody"/>
        <w:bidi w:val="0"/>
        <w:spacing w:before="0" w:after="0"/>
        <w:jc w:val="left"/>
        <w:rPr/>
      </w:pPr>
      <w:r>
        <w:rPr/>
      </w:r>
    </w:p>
    <w:tbl>
      <w:tblPr>
        <w:tblW w:w="9536" w:type="dxa"/>
        <w:jc w:val="center"/>
        <w:tblInd w:w="0" w:type="dxa"/>
        <w:tblLayout w:type="fixed"/>
        <w:tblCellMar>
          <w:top w:w="28" w:type="dxa"/>
          <w:left w:w="28" w:type="dxa"/>
          <w:bottom w:w="28" w:type="dxa"/>
          <w:right w:w="28" w:type="dxa"/>
        </w:tblCellMar>
      </w:tblPr>
      <w:tblGrid>
        <w:gridCol w:w="1031"/>
        <w:gridCol w:w="906"/>
        <w:gridCol w:w="913"/>
        <w:gridCol w:w="196"/>
        <w:gridCol w:w="466"/>
        <w:gridCol w:w="109"/>
        <w:gridCol w:w="109"/>
        <w:gridCol w:w="109"/>
        <w:gridCol w:w="109"/>
        <w:gridCol w:w="196"/>
        <w:gridCol w:w="46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0"/>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Revenues (in millions):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FX/CFD contracts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Interest/fees earned on client balances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bl>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Payments</w:t>
      </w:r>
    </w:p>
    <w:tbl>
      <w:tblPr>
        <w:tblW w:w="10090" w:type="dxa"/>
        <w:jc w:val="left"/>
        <w:tblInd w:w="0" w:type="dxa"/>
        <w:tblLayout w:type="fixed"/>
        <w:tblCellMar>
          <w:top w:w="28" w:type="dxa"/>
          <w:left w:w="28" w:type="dxa"/>
          <w:bottom w:w="28" w:type="dxa"/>
          <w:right w:w="28" w:type="dxa"/>
        </w:tblCellMar>
      </w:tblPr>
      <w:tblGrid>
        <w:gridCol w:w="1506"/>
        <w:gridCol w:w="1037"/>
        <w:gridCol w:w="1041"/>
        <w:gridCol w:w="196"/>
        <w:gridCol w:w="466"/>
        <w:gridCol w:w="109"/>
        <w:gridCol w:w="109"/>
        <w:gridCol w:w="109"/>
        <w:gridCol w:w="109"/>
        <w:gridCol w:w="196"/>
        <w:gridCol w:w="466"/>
        <w:gridCol w:w="109"/>
        <w:gridCol w:w="109"/>
        <w:gridCol w:w="109"/>
        <w:gridCol w:w="109"/>
        <w:gridCol w:w="290"/>
        <w:gridCol w:w="290"/>
        <w:gridCol w:w="291"/>
        <w:gridCol w:w="109"/>
        <w:gridCol w:w="109"/>
        <w:gridCol w:w="109"/>
        <w:gridCol w:w="196"/>
        <w:gridCol w:w="466"/>
        <w:gridCol w:w="109"/>
        <w:gridCol w:w="109"/>
        <w:gridCol w:w="109"/>
        <w:gridCol w:w="109"/>
        <w:gridCol w:w="196"/>
        <w:gridCol w:w="466"/>
        <w:gridCol w:w="109"/>
        <w:gridCol w:w="109"/>
        <w:gridCol w:w="109"/>
        <w:gridCol w:w="109"/>
        <w:gridCol w:w="268"/>
        <w:gridCol w:w="268"/>
        <w:gridCol w:w="380"/>
      </w:tblGrid>
      <w:tr>
        <w:trPr/>
        <w:tc>
          <w:tcPr>
            <w:tcW w:w="150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gains, net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and clearing fees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Consulting, management, account fees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contribution</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expenses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non-variable direct expenses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overhead costs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 less allocation of overhead costs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r>
    </w:tbl>
    <w:tbl>
      <w:tblPr>
        <w:tblW w:w="9596" w:type="dxa"/>
        <w:jc w:val="center"/>
        <w:tblInd w:w="0" w:type="dxa"/>
        <w:tblLayout w:type="fixed"/>
        <w:tblCellMar>
          <w:top w:w="28" w:type="dxa"/>
          <w:left w:w="28" w:type="dxa"/>
          <w:bottom w:w="28" w:type="dxa"/>
          <w:right w:w="28" w:type="dxa"/>
        </w:tblCellMar>
      </w:tblPr>
      <w:tblGrid>
        <w:gridCol w:w="922"/>
        <w:gridCol w:w="811"/>
        <w:gridCol w:w="817"/>
        <w:gridCol w:w="196"/>
        <w:gridCol w:w="556"/>
        <w:gridCol w:w="109"/>
        <w:gridCol w:w="109"/>
        <w:gridCol w:w="109"/>
        <w:gridCol w:w="109"/>
        <w:gridCol w:w="196"/>
        <w:gridCol w:w="646"/>
        <w:gridCol w:w="109"/>
        <w:gridCol w:w="109"/>
        <w:gridCol w:w="109"/>
        <w:gridCol w:w="109"/>
        <w:gridCol w:w="290"/>
        <w:gridCol w:w="290"/>
        <w:gridCol w:w="291"/>
        <w:gridCol w:w="109"/>
        <w:gridCol w:w="109"/>
        <w:gridCol w:w="109"/>
        <w:gridCol w:w="196"/>
        <w:gridCol w:w="556"/>
        <w:gridCol w:w="109"/>
        <w:gridCol w:w="109"/>
        <w:gridCol w:w="109"/>
        <w:gridCol w:w="109"/>
        <w:gridCol w:w="196"/>
        <w:gridCol w:w="646"/>
        <w:gridCol w:w="109"/>
        <w:gridCol w:w="109"/>
        <w:gridCol w:w="109"/>
        <w:gridCol w:w="109"/>
        <w:gridCol w:w="268"/>
        <w:gridCol w:w="268"/>
        <w:gridCol w:w="380"/>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3"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Volumes and Other Select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ADV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RPM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bl>
    <w:tbl>
      <w:tblPr>
        <w:tblW w:w="9536" w:type="dxa"/>
        <w:jc w:val="center"/>
        <w:tblInd w:w="0" w:type="dxa"/>
        <w:tblLayout w:type="fixed"/>
        <w:tblCellMar>
          <w:top w:w="28" w:type="dxa"/>
          <w:left w:w="28" w:type="dxa"/>
          <w:bottom w:w="28" w:type="dxa"/>
          <w:right w:w="28" w:type="dxa"/>
        </w:tblCellMar>
      </w:tblPr>
      <w:tblGrid>
        <w:gridCol w:w="1031"/>
        <w:gridCol w:w="906"/>
        <w:gridCol w:w="913"/>
        <w:gridCol w:w="196"/>
        <w:gridCol w:w="466"/>
        <w:gridCol w:w="109"/>
        <w:gridCol w:w="109"/>
        <w:gridCol w:w="109"/>
        <w:gridCol w:w="109"/>
        <w:gridCol w:w="196"/>
        <w:gridCol w:w="46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0"/>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Revenues (in millions):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Overhead Costs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incur overhead costs, including certain shared services such as information technology, accounting and treasury, credit and risk, legal and compliance, and human resources and other activities. The following table provides information regarding overhead costs and expenses. The allocation of overhead costs to operating segments includes costs associated with compliance, technology, and credit and risk costs. The share of allocated costs is based on resources consumed by the relevant businesses. In addition, the allocation of human resources and occupancy costs is principally based on employee costs within the relevant businesses. </w:t>
      </w:r>
    </w:p>
    <w:tbl>
      <w:tblPr>
        <w:tblW w:w="10205" w:type="dxa"/>
        <w:jc w:val="left"/>
        <w:tblInd w:w="0" w:type="dxa"/>
        <w:tblLayout w:type="fixed"/>
        <w:tblCellMar>
          <w:top w:w="28" w:type="dxa"/>
          <w:left w:w="28" w:type="dxa"/>
          <w:bottom w:w="28" w:type="dxa"/>
          <w:right w:w="28" w:type="dxa"/>
        </w:tblCellMar>
      </w:tblPr>
      <w:tblGrid>
        <w:gridCol w:w="1298"/>
        <w:gridCol w:w="1060"/>
        <w:gridCol w:w="1070"/>
        <w:gridCol w:w="196"/>
        <w:gridCol w:w="556"/>
        <w:gridCol w:w="109"/>
        <w:gridCol w:w="109"/>
        <w:gridCol w:w="109"/>
        <w:gridCol w:w="109"/>
        <w:gridCol w:w="196"/>
        <w:gridCol w:w="46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1"/>
      </w:tblGrid>
      <w:tr>
        <w:trPr/>
        <w:tc>
          <w:tcPr>
            <w:tcW w:w="129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 and equipment rental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Non-trading technology and support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systems and market information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Travel and business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133%</w:t>
            </w:r>
          </w:p>
        </w:tc>
      </w:tr>
      <w:tr>
        <w:trPr/>
        <w:tc>
          <w:tcPr>
            <w:tcW w:w="342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42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Overhead costs, before shared services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Shared services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Overhead costs, net of shared services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overhead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Overhead costs, net of shared services, net of allocation to operating segments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Balance Sheet Summary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below provides a summary of asset, liability and stockholders’ equity information for the periods indicated.</w:t>
      </w:r>
    </w:p>
    <w:tbl>
      <w:tblPr>
        <w:tblW w:w="9920" w:type="dxa"/>
        <w:jc w:val="left"/>
        <w:tblInd w:w="0" w:type="dxa"/>
        <w:tblLayout w:type="fixed"/>
        <w:tblCellMar>
          <w:top w:w="28" w:type="dxa"/>
          <w:left w:w="28" w:type="dxa"/>
          <w:bottom w:w="28" w:type="dxa"/>
          <w:right w:w="28" w:type="dxa"/>
        </w:tblCellMar>
      </w:tblPr>
      <w:tblGrid>
        <w:gridCol w:w="2478"/>
        <w:gridCol w:w="2174"/>
        <w:gridCol w:w="2188"/>
        <w:gridCol w:w="210"/>
        <w:gridCol w:w="841"/>
        <w:gridCol w:w="113"/>
        <w:gridCol w:w="109"/>
        <w:gridCol w:w="109"/>
        <w:gridCol w:w="109"/>
        <w:gridCol w:w="275"/>
        <w:gridCol w:w="1098"/>
        <w:gridCol w:w="216"/>
      </w:tblGrid>
      <w:tr>
        <w:trPr/>
        <w:tc>
          <w:tcPr>
            <w:tcW w:w="2478"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(in millions, except for share and per share amounts)</w:t>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Summary asset information:</w:t>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securities and other assets segregated under federal and other regulations</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5,271.0 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15,820.5 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10,325.4 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 with and receivables from broker-dealers, clearing organizations and counterparties, net</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12,890.7 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clients, net and notes receivable, net</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 at fair value</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8,604.4 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Physical commodities inventory, net</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right of use assets</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intangible assets, net</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Summary liability and stockholders’ equity information:</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accrued liabilities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clients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19,864.1 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clearing organizations and counterparties</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lenders under loans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secured borrowings, net</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sold, not yet purchased, at fair value</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2,919.8 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outstanding - shares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119,995,698 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117,419,470 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asset value per share</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 xml:space="preserve">Conference Call &amp; Web Cast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 conference call to discuss the Company’s financial results will be held tomorrow, Thursday, August 6, 2026 at 9:00 a.m. Eastern time. The call may also include discussion of Company developments, and forward-looking and other material information about business and financial matters. A live webcast of the conference call as well as additional information to review during the call will be made available in PDF form on-line on the Company’s corporate web site at https://register-conf.media-server.com/register/BI082a743921f5404c91827f24dc2c4996 approximately ten minutes prior to the start time. Participants may preregister for the conference call here.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For those who cannot access the live broadcast, a replay of the call will be available at https://www.stonex.com. </w:t>
      </w:r>
    </w:p>
    <w:p>
      <w:pPr>
        <w:pStyle w:val="TextBody"/>
        <w:bidi w:val="0"/>
        <w:spacing w:lineRule="auto" w:line="288" w:before="120" w:after="100"/>
        <w:jc w:val="left"/>
        <w:rPr>
          <w:rFonts w:ascii="Times New Roman;serif" w:hAnsi="Times New Roman;serif"/>
          <w:b/>
          <w:color w:val="000000"/>
          <w:sz w:val="20"/>
        </w:rPr>
      </w:pPr>
      <w:r>
        <w:rPr>
          <w:rFonts w:ascii="Times New Roman;serif" w:hAnsi="Times New Roman;serif"/>
          <w:b/>
          <w:color w:val="000000"/>
          <w:sz w:val="20"/>
        </w:rPr>
        <w:t xml:space="preserve">About StoneX Group Inc. </w:t>
      </w:r>
    </w:p>
    <w:p>
      <w:pPr>
        <w:pStyle w:val="TextBody"/>
        <w:bidi w:val="0"/>
        <w:spacing w:lineRule="auto" w:line="276"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StoneX Group Inc., through its subsidiaries, operates a global financial services network that connects companies, organizations, traders and investors to the global market ecosystem through a unique blend of digital platforms, end-to-end clearing and execution services, high touch service and deep expertise. The Company strives to be the one trusted partner to its clients, providing its network, product and services to allow them to pursue trading opportunities, manage their market risks, make investments and improve their business performance. A Fortune-500 company headquartered in New York City and listed on the Nasdaq Global Select Market (NASDAQ:SNEX), StoneX Group Inc. and its more than 5,200 employees serve more than 80,000 commercial, institutional, and payments clients, and more than 400,000 retail accounts, from more than 80 offices spread across six continents. Further information on the Company is available at www.stonex.com. </w:t>
      </w:r>
    </w:p>
    <w:p>
      <w:pPr>
        <w:pStyle w:val="TextBody"/>
        <w:bidi w:val="0"/>
        <w:spacing w:lineRule="auto" w:line="288" w:before="120" w:after="100"/>
        <w:jc w:val="left"/>
        <w:rPr>
          <w:rFonts w:ascii="Times New Roman;serif" w:hAnsi="Times New Roman;serif"/>
          <w:b/>
          <w:color w:val="000000"/>
          <w:sz w:val="20"/>
        </w:rPr>
      </w:pPr>
      <w:r>
        <w:rPr>
          <w:rFonts w:ascii="Times New Roman;serif" w:hAnsi="Times New Roman;serif"/>
          <w:b/>
          <w:color w:val="000000"/>
          <w:sz w:val="20"/>
        </w:rPr>
        <w:t xml:space="preserve">Forward Looking Statements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includes forward-looking statements within the meaning of Section 27A of the Securities Act of 1933, as amended, and Section 21E of the Securities Exchange Act of 1934, as amended, such as those pertaining to the Company’s financial condition, results of operations, business strategy, financial needs of the Company, impact of the R.J. O’Brien transaction. All statements other than statements of current or historical fact contained in this press release are forward-looking statements. The words “believe,” “expect,” “anticipate,” “should,” “plan,” “will,” “may,” “could,” “intend,” “estimate,” “predict,” “potential,” “continue” or the negative of these terms and similar expressions, as they relate to StoneX Group Inc., are intended to identify forward-looking statements.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largely based on current expectations and projections about future events and financial trends that may affect the financial condition, results of operations, business strategy and financial needs of the Company. These forward-looking statements involve known and unknown risks and uncertainties, many of which are beyond the control of the Company, including statements about the benefits of our acquisition of RJO, including expected synergies and future financial and operating results, the plans, objectives, expectations and intentions of StoneX with respect to the acquisition, adverse changes in economic, political and market conditions, including losses from our market-making and trading activities arising from counterparty failures, global trade policies and tariffs, the loss of key personnel, the impact of increasing competition, the impact of changes in government regulation, uncertainty concerning fiscal or monetary policies established by central banks and financial regulators, the possibility of liabilities arising from violations of foreign, United States (“U.S.”) federal and U.S. state securities laws, the impact of changes in technology in the securities and commodities trading industries, and other risks discussed in our filings with the SEC, including Part I, Item 1A of our Annual Report on Form 10-K for the year ended September 30, 2025. Although we believe that our forward-looking statements are based upon reasonable assumptions regarding our business and future market conditions, there can be no assurances that our actual results will not differ materially from any results expressed or implied by our forward-looking statements. </w:t>
      </w:r>
    </w:p>
    <w:p>
      <w:pPr>
        <w:pStyle w:val="TextBody"/>
        <w:bidi w:val="0"/>
        <w:spacing w:lineRule="auto" w:line="288" w:before="100" w:after="18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speak only as of the date of this press release. StoneX Group Inc. undertakes no obligation to update or revise any forward-looking statements, whether as a result of new information, future events or otherwise, except as required by law. Accordingly, readers are cautioned not to place undue reliance on these forward-looking statements. For these statements, we claim the protection of the safe harbor for forward-looking statements contained in the Private Securities Litigation Reform Act of 1995.</w:t>
      </w:r>
    </w:p>
    <w:p>
      <w:pPr>
        <w:pStyle w:val="TextBody"/>
        <w:bidi w:val="0"/>
        <w:spacing w:before="100" w:after="283"/>
        <w:ind w:left="0" w:right="0" w:firstLine="72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00"/>
        <w:jc w:val="left"/>
        <w:rPr>
          <w:rFonts w:ascii="Times New Roman;serif" w:hAnsi="Times New Roman;serif"/>
          <w:b/>
          <w:color w:val="000000"/>
          <w:sz w:val="20"/>
        </w:rPr>
      </w:pPr>
      <w:r>
        <w:rPr>
          <w:rFonts w:ascii="Times New Roman;serif" w:hAnsi="Times New Roman;serif"/>
          <w:b/>
          <w:color w:val="000000"/>
          <w:sz w:val="20"/>
        </w:rPr>
        <w:t>Appendix - Non-GAAP Financial Information</w:t>
      </w:r>
    </w:p>
    <w:p>
      <w:pPr>
        <w:pStyle w:val="TextBody"/>
        <w:bidi w:val="0"/>
        <w:spacing w:lineRule="auto" w:line="288" w:before="120" w:after="180"/>
        <w:jc w:val="left"/>
        <w:rPr/>
      </w:pPr>
      <w:r>
        <w:rPr>
          <w:rFonts w:ascii="Times New Roman;serif" w:hAnsi="Times New Roman;serif"/>
          <w:b w:val="false"/>
          <w:color w:val="000000"/>
          <w:sz w:val="20"/>
        </w:rPr>
        <w:t>The following table reconciles net income to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and Adjusted EBITDA</w:t>
      </w:r>
      <w:r>
        <w:rPr>
          <w:rFonts w:ascii="Times New Roman;serif" w:hAnsi="Times New Roman;serif"/>
          <w:b w:val="false"/>
          <w:color w:val="000000"/>
          <w:sz w:val="13"/>
        </w:rPr>
        <w:t>(1)</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211"/>
        <w:gridCol w:w="1056"/>
        <w:gridCol w:w="1058"/>
        <w:gridCol w:w="196"/>
        <w:gridCol w:w="556"/>
        <w:gridCol w:w="109"/>
        <w:gridCol w:w="109"/>
        <w:gridCol w:w="109"/>
        <w:gridCol w:w="109"/>
        <w:gridCol w:w="196"/>
        <w:gridCol w:w="556"/>
        <w:gridCol w:w="109"/>
        <w:gridCol w:w="109"/>
        <w:gridCol w:w="109"/>
        <w:gridCol w:w="109"/>
        <w:gridCol w:w="290"/>
        <w:gridCol w:w="290"/>
        <w:gridCol w:w="291"/>
        <w:gridCol w:w="109"/>
        <w:gridCol w:w="109"/>
        <w:gridCol w:w="109"/>
        <w:gridCol w:w="198"/>
        <w:gridCol w:w="565"/>
        <w:gridCol w:w="109"/>
        <w:gridCol w:w="109"/>
        <w:gridCol w:w="109"/>
        <w:gridCol w:w="109"/>
        <w:gridCol w:w="196"/>
        <w:gridCol w:w="556"/>
        <w:gridCol w:w="109"/>
        <w:gridCol w:w="109"/>
        <w:gridCol w:w="109"/>
        <w:gridCol w:w="109"/>
        <w:gridCol w:w="268"/>
        <w:gridCol w:w="268"/>
        <w:gridCol w:w="383"/>
      </w:tblGrid>
      <w:tr>
        <w:trPr/>
        <w:tc>
          <w:tcPr>
            <w:tcW w:w="121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r>
      <w:tr>
        <w:trPr/>
        <w:tc>
          <w:tcPr>
            <w:tcW w:w="3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r>
      <w:tr>
        <w:trPr/>
        <w:tc>
          <w:tcPr>
            <w:tcW w:w="3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r>
      <w:tr>
        <w:trPr/>
        <w:tc>
          <w:tcPr>
            <w:tcW w:w="3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share-based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attributable to trading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r>
      <w:tr>
        <w:trPr/>
        <w:tc>
          <w:tcPr>
            <w:tcW w:w="3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losses (gains),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120" w:after="200"/>
              <w:jc w:val="left"/>
              <w:rPr/>
            </w:pPr>
            <w:r>
              <w:rPr>
                <w:rFonts w:ascii="Times New Roman;serif" w:hAnsi="Times New Roman;serif"/>
                <w:b w:val="false"/>
                <w:color w:val="000000"/>
                <w:sz w:val="10"/>
              </w:rPr>
              <w:t>(1)</w:t>
            </w:r>
            <w:r>
              <w:rPr>
                <w:rFonts w:ascii="Times New Roman;serif" w:hAnsi="Times New Roman;serif"/>
                <w:b w:val="false"/>
                <w:color w:val="000000"/>
                <w:sz w:val="16"/>
              </w:rPr>
              <w:t>EBITDA and Adjusted EBITDA are non-GAAP measures.</w:t>
            </w:r>
          </w:p>
        </w:tc>
      </w:tr>
    </w:tbl>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EBITDA, a non-GAAP measure used to measure operating performance, is defined as net income plus interest expense, depreciation and amortization, and income tax expense. Adjusted EBITDA represents EBITDA plus amortization of share-based compensation and less interest expense attributable to trading activities, including the credit facilities of our subsidiaries, gain on acquisitions, acquisition-related expenses, and gain on class action settlements.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of the EBITDA-based measures described above is not a presentation made in accordance with GAAP and should not be considered as an alternative to net income or any other performance measures derived in accordance with GAAP as a measure of operating performance or to cash flows as a measure of liquidity. Additionally, each such measure is not intended to be a measure of free cash flows available for management’s discretionary use, as it does not consider certain cash requirements such as interest payments, tax payments and debt service requirements. Such measures have limitations as analytical tools, and you should not consider any of such measures in isolation or as substitutes for our results as reported under GAAP.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EBITDA-based measures may not be comparable to other similarly titled measures of other companies.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Company believes EBITDA is helpful in highlighting the business’s trends because EBITDA excludes the results of decisions that are outside the control of management and can differ significantly from company to company depending on long-term strategic decisions regarding capital structure, the tax jurisdictions in which companies operate and capital investments. In addition, EBITDA provides more comparability between the historical operating results that reflect purchase accounting and the new capital structure.</w:t>
      </w:r>
    </w:p>
    <w:p>
      <w:pPr>
        <w:pStyle w:val="TextBody"/>
        <w:bidi w:val="0"/>
        <w:spacing w:before="100" w:after="60"/>
        <w:jc w:val="left"/>
        <w:rPr/>
      </w:pPr>
      <w:r>
        <w:rPr/>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StoneX Group Inc.</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Investor inquiries: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Kevin Murphy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(212) 403 - 7296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kevin.murphy@stonex.com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SNEX-G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60" w:after="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6421</Words>
  <Characters>33481</Characters>
  <CharactersWithSpaces>38394</CharactersWithSpaces>
  <Paragraphs>2722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