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345440</wp:posOffset>
            </wp:positionH>
            <wp:positionV relativeFrom="page">
              <wp:posOffset>791845</wp:posOffset>
            </wp:positionV>
            <wp:extent cx="6866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817880</wp:posOffset>
            </wp:positionV>
            <wp:extent cx="6866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8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5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CURRENT REPORT</w:t>
      </w:r>
    </w:p>
    <w:p>
      <w:pPr>
        <w:spacing w:after="0" w:line="113" w:lineRule="exact"/>
        <w:rPr>
          <w:sz w:val="24"/>
          <w:szCs w:val="24"/>
          <w:color w:val="auto"/>
        </w:rPr>
      </w:pPr>
    </w:p>
    <w:p>
      <w:pPr>
        <w:jc w:val="center"/>
        <w:ind w:left="2140" w:right="1980"/>
        <w:spacing w:after="0" w:line="323" w:lineRule="auto"/>
        <w:rPr>
          <w:sz w:val="20"/>
          <w:szCs w:val="20"/>
          <w:color w:val="auto"/>
        </w:rPr>
      </w:pPr>
      <w:r>
        <w:rPr>
          <w:rFonts w:ascii="Arial" w:cs="Arial" w:eastAsia="Arial" w:hAnsi="Arial"/>
          <w:sz w:val="22"/>
          <w:szCs w:val="22"/>
          <w:b w:val="1"/>
          <w:bCs w:val="1"/>
          <w:color w:val="auto"/>
        </w:rPr>
        <w:t>Pursuant to Section 13 or 15(d) of the Securities Exchange Act of 1934 Date of Report (Date of earliest event reported): May 21, 2021</w:t>
      </w: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StoneX Group Inc.</w:t>
      </w:r>
    </w:p>
    <w:p>
      <w:pPr>
        <w:spacing w:after="0" w:line="11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080"/>
          </w:cols>
          <w:pgMar w:left="320" w:top="1440" w:right="499" w:bottom="1440" w:gutter="0" w:footer="0" w:header="0"/>
        </w:sectPr>
      </w:pPr>
    </w:p>
    <w:p>
      <w:pPr>
        <w:spacing w:after="0" w:line="374"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000-23554</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59-2921318</w:t>
      </w:r>
    </w:p>
    <w:p>
      <w:pPr>
        <w:spacing w:after="0" w:line="50" w:lineRule="exact"/>
        <w:rPr>
          <w:sz w:val="24"/>
          <w:szCs w:val="24"/>
          <w:color w:val="auto"/>
        </w:rPr>
      </w:pPr>
    </w:p>
    <w:p>
      <w:pPr>
        <w:sectPr>
          <w:pgSz w:w="11900" w:h="16838" w:orient="portrait"/>
          <w:cols w:equalWidth="0" w:num="3">
            <w:col w:w="4600" w:space="720"/>
            <w:col w:w="2640" w:space="720"/>
            <w:col w:w="2400"/>
          </w:cols>
          <w:pgMar w:left="320" w:top="1440" w:right="499" w:bottom="1440" w:gutter="0" w:footer="0" w:header="0"/>
          <w:type w:val="continuous"/>
        </w:sectPr>
      </w:pPr>
    </w:p>
    <w:p>
      <w:pPr>
        <w:ind w:left="1400"/>
        <w:spacing w:after="0"/>
        <w:rPr>
          <w:sz w:val="20"/>
          <w:szCs w:val="20"/>
          <w:color w:val="auto"/>
        </w:rPr>
      </w:pPr>
      <w:r>
        <w:rPr>
          <w:rFonts w:ascii="Arial" w:cs="Arial" w:eastAsia="Arial" w:hAnsi="Arial"/>
          <w:sz w:val="15"/>
          <w:szCs w:val="15"/>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 No.)</w:t>
      </w:r>
    </w:p>
    <w:p>
      <w:pPr>
        <w:spacing w:after="0" w:line="174" w:lineRule="exact"/>
        <w:rPr>
          <w:sz w:val="24"/>
          <w:szCs w:val="24"/>
          <w:color w:val="auto"/>
        </w:rPr>
      </w:pPr>
    </w:p>
    <w:p>
      <w:pPr>
        <w:sectPr>
          <w:pgSz w:w="11900" w:h="16838" w:orient="portrait"/>
          <w:cols w:equalWidth="0" w:num="3">
            <w:col w:w="4060" w:space="720"/>
            <w:col w:w="2820" w:space="720"/>
            <w:col w:w="2760"/>
          </w:cols>
          <w:pgMar w:left="320" w:top="1440" w:right="49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230 Park Ave, 10th Floor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NY 10169</w:t>
      </w:r>
    </w:p>
    <w:p>
      <w:pPr>
        <w:spacing w:after="0" w:line="7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w:t>
      </w:r>
      <w:r>
        <w:rPr>
          <w:rFonts w:ascii="Arial" w:cs="Arial" w:eastAsia="Arial" w:hAnsi="Arial"/>
          <w:sz w:val="18"/>
          <w:szCs w:val="18"/>
          <w:color w:val="auto"/>
        </w:rPr>
        <w:t>)</w:t>
      </w:r>
      <w:r>
        <w:rPr>
          <w:rFonts w:ascii="Arial" w:cs="Arial" w:eastAsia="Arial" w:hAnsi="Arial"/>
          <w:sz w:val="18"/>
          <w:szCs w:val="18"/>
          <w:b w:val="1"/>
          <w:bCs w:val="1"/>
          <w:color w:val="auto"/>
        </w:rPr>
        <w:t xml:space="preserve"> 485-3500</w:t>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68"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080"/>
          </w:cols>
          <w:pgMar w:left="320" w:top="1440" w:right="499" w:bottom="1440" w:gutter="0" w:footer="0" w:header="0"/>
          <w:type w:val="continuous"/>
        </w:sectPr>
      </w:pPr>
    </w:p>
    <w:p>
      <w:pPr>
        <w:spacing w:after="0" w:line="81" w:lineRule="exact"/>
        <w:rPr>
          <w:sz w:val="24"/>
          <w:szCs w:val="24"/>
          <w:color w:val="auto"/>
        </w:rPr>
      </w:pPr>
    </w:p>
    <w:p>
      <w:pPr>
        <w:jc w:val="center"/>
        <w:ind w:left="500" w:right="1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05"/>
        </w:trPr>
        <w:tc>
          <w:tcPr>
            <w:tcW w:w="4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Title of Each Class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SNEX</w:t>
            </w:r>
          </w:p>
        </w:tc>
        <w:tc>
          <w:tcPr>
            <w:tcW w:w="10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3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037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037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7" w:lineRule="exact"/>
        <w:rPr>
          <w:sz w:val="20"/>
          <w:szCs w:val="20"/>
          <w:color w:val="auto"/>
        </w:rPr>
      </w:pPr>
      <w:r>
        <w:rPr>
          <w:rFonts w:ascii="Arial" w:cs="Arial" w:eastAsia="Arial" w:hAnsi="Arial"/>
          <w:sz w:val="18"/>
          <w:szCs w:val="18"/>
          <w:b w:val="1"/>
          <w:bCs w:val="1"/>
          <w:color w:val="auto"/>
        </w:rPr>
        <w:t>Item 2.03. Creation of a Direct Financial Obligation or an Obligation under an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 of a Registrant</w:t>
      </w:r>
    </w:p>
    <w:p>
      <w:pPr>
        <w:spacing w:after="0" w:line="35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May 21, 2021, the Company commenced an offer to purchase up to $100 million in aggregate principal amount of its 8.625% Senior Notes due 2025 (the “</w:t>
      </w:r>
      <w:r>
        <w:rPr>
          <w:rFonts w:ascii="Arial" w:cs="Arial" w:eastAsia="Arial" w:hAnsi="Arial"/>
          <w:sz w:val="18"/>
          <w:szCs w:val="18"/>
          <w:b w:val="1"/>
          <w:bCs w:val="1"/>
          <w:color w:val="auto"/>
        </w:rPr>
        <w:t>Notes</w:t>
      </w:r>
      <w:r>
        <w:rPr>
          <w:rFonts w:ascii="Arial" w:cs="Arial" w:eastAsia="Arial" w:hAnsi="Arial"/>
          <w:sz w:val="18"/>
          <w:szCs w:val="18"/>
          <w:color w:val="auto"/>
        </w:rPr>
        <w:t>”) for cash at a purchase price equal to 1.03% of the principal amount of the Notes plus accrued and unpaid interest, if any, to the date of purchase price. The offer, which will remain open for a period of twenty business days following its commencement, is being made to satisfy the Company’s obligation under Section 4.20 of the Indenture dated as of June 11, 2020 by and among the Company, the guarantors party thereto and The Bank of New York Mellon,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402590</wp:posOffset>
            </wp:positionV>
            <wp:extent cx="70980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33"/>
        </w:trPr>
        <w:tc>
          <w:tcPr>
            <w:tcW w:w="4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StoneX Group Inc.</w:t>
            </w:r>
          </w:p>
        </w:tc>
      </w:tr>
      <w:tr>
        <w:trPr>
          <w:trHeight w:val="226"/>
        </w:trPr>
        <w:tc>
          <w:tcPr>
            <w:tcW w:w="4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234"/>
        </w:trPr>
        <w:tc>
          <w:tcPr>
            <w:tcW w:w="5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2"/>
              </w:rPr>
              <w:t>May 24, 2021</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9"/>
              </w:rPr>
              <w:t>/s/ WILLIAM J. DUNAWAY</w:t>
            </w:r>
          </w:p>
        </w:tc>
      </w:tr>
      <w:tr>
        <w:trPr>
          <w:trHeight w:val="222"/>
        </w:trPr>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c>
          <w:tcPr>
            <w:tcW w:w="96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William J. Dunaway</w:t>
            </w:r>
          </w:p>
        </w:tc>
      </w:tr>
      <w:tr>
        <w:trPr>
          <w:trHeight w:val="230"/>
        </w:trPr>
        <w:tc>
          <w:tcPr>
            <w:tcW w:w="4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 w:lineRule="exact"/>
        <w:rPr>
          <w:sz w:val="20"/>
          <w:szCs w:val="20"/>
          <w:color w:val="auto"/>
        </w:rPr>
      </w:pP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2021-05-25T05:26:04Z</dcterms:created>
  <dcterms:modified xsi:type="dcterms:W3CDTF">2021-05-25T05:26:04Z</dcterms:modified>
</cp:coreProperties>
</file>