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October 1, 2021</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StoneX Group Inc.</w:t>
      </w: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74"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50"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74"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230 Park Ave, 10th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10169</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w:t>
      </w:r>
      <w:r>
        <w:rPr>
          <w:rFonts w:ascii="Arial" w:cs="Arial" w:eastAsia="Arial" w:hAnsi="Arial"/>
          <w:sz w:val="18"/>
          <w:szCs w:val="18"/>
          <w:b w:val="1"/>
          <w:bCs w:val="1"/>
          <w:color w:val="auto"/>
        </w:rPr>
        <w:t xml:space="preserve"> 485-3500</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37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5.02. Election of Director.</w:t>
      </w:r>
    </w:p>
    <w:p>
      <w:pPr>
        <w:spacing w:after="0" w:line="17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Dr. Dhamu R. Thamodaran was appointed to the Board of Directors of StoneX Group Inc. on October 1, 2021, and will receive the same compensation package as other non-executive Directors of StoneX Group Inc., prorated until the next annual shareholders'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related press release issued on October 6, 2021 is filed herewith as Exhibit 99.1.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ind w:left="6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Press release dated as of October 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426085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StoneX Group Inc.</w:t>
            </w:r>
          </w:p>
        </w:tc>
      </w:tr>
      <w:tr>
        <w:trPr>
          <w:trHeight w:val="225"/>
        </w:trPr>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4"/>
        </w:trPr>
        <w:tc>
          <w:tcPr>
            <w:tcW w:w="5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October 6, 2021</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 David A. Bolte</w:t>
            </w:r>
          </w:p>
        </w:tc>
      </w:tr>
      <w:tr>
        <w:trPr>
          <w:trHeight w:val="222"/>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96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David A. Bolte</w:t>
            </w:r>
          </w:p>
        </w:tc>
      </w:tr>
      <w:tr>
        <w:trPr>
          <w:trHeight w:val="230"/>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8"/>
              </w:rPr>
              <w:t>Corporate Secretary</w:t>
            </w:r>
          </w:p>
        </w:tc>
      </w:tr>
    </w:tbl>
    <w:p>
      <w:pPr>
        <w:sectPr>
          <w:pgSz w:w="11900" w:h="16838" w:orient="portrait"/>
          <w:cols w:equalWidth="0" w:num="1">
            <w:col w:w="11040"/>
          </w:cols>
          <w:pgMar w:left="320" w:top="1440"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731520</wp:posOffset>
            </wp:positionV>
            <wp:extent cx="107124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A3058"/>
        </w:rPr>
        <w:t>STONEX GROUP INC.</w:t>
      </w:r>
    </w:p>
    <w:p>
      <w:pPr>
        <w:ind w:left="340"/>
        <w:spacing w:after="0" w:line="229" w:lineRule="auto"/>
        <w:rPr>
          <w:sz w:val="20"/>
          <w:szCs w:val="20"/>
          <w:color w:val="auto"/>
        </w:rPr>
      </w:pPr>
      <w:r>
        <w:rPr>
          <w:rFonts w:ascii="Arial" w:cs="Arial" w:eastAsia="Arial" w:hAnsi="Arial"/>
          <w:sz w:val="14"/>
          <w:szCs w:val="14"/>
          <w:color w:val="0A3058"/>
        </w:rPr>
        <w:t>NASDAQ: SNEX</w:t>
      </w:r>
    </w:p>
    <w:p>
      <w:pPr>
        <w:ind w:left="340"/>
        <w:spacing w:after="0"/>
        <w:rPr>
          <w:sz w:val="20"/>
          <w:szCs w:val="20"/>
          <w:color w:val="auto"/>
        </w:rPr>
      </w:pPr>
      <w:r>
        <w:rPr>
          <w:rFonts w:ascii="Arial" w:cs="Arial" w:eastAsia="Arial" w:hAnsi="Arial"/>
          <w:sz w:val="14"/>
          <w:szCs w:val="14"/>
          <w:color w:val="0A3058"/>
        </w:rPr>
        <w:t>www.stonex.com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StoneX Names Dr. Dhamu R. Thamodaran to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Vice President, Chief Strategy Officer &amp; Chief Commodity Hedging Officer bolsters leadership of StoneX Group Inc.</w:t>
      </w:r>
    </w:p>
    <w:p>
      <w:pPr>
        <w:spacing w:after="0" w:line="23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NEW YORK, October 6, 2021 – StoneX Group Inc. (NASDAQ: SNEX), a diversified global brokerage and financial services firm providing execution, risk management and advisory services, market intelligence and clearing services across multiple asset classes and markets around the world, today announced that its board of directors has appointed a new director, Dr. Dhamu R. Thamodaran.</w:t>
      </w:r>
    </w:p>
    <w:p>
      <w:pPr>
        <w:spacing w:after="0" w:line="22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Dr. Thamodaran retired as Executive Vice President, Chief Strategy Officer &amp; Chief Commodity Hedging Officer from Smithfield Foods, Inc. in December 2020, having served in this role since 2016. Dr. Thamodaran joined Smithfield Foods in 1995 as Director of Price Risk Management. Prior to joining Smithfield Foods, he had related industry experience with John Morrell Food Group and Farmland Foods, which later became part of the Smithfield Foods family.</w:t>
      </w:r>
    </w:p>
    <w:p>
      <w:pPr>
        <w:spacing w:after="0" w:line="230"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With Smithfield Foods, Dr. Thamodaran led strategy development for the firm’s vertically integrated business, managed its commodity hedging activities, and oversaw its global economics commodities research and analysis group. Widely respected for his knowledge of global macroeconomics, agricultural markets, and the pork value chain, Dr. Thamodaran has been a frequent speaker before boards of food and agriculture companies and industry trade association events.</w:t>
      </w:r>
    </w:p>
    <w:p>
      <w:pPr>
        <w:spacing w:after="0" w:line="23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Sean O’Connor, CEO of StoneX, said, “Dhamu brings a vast portfolio of experience gained from one of our largest and longest-standing clients, providing a deep understanding of StoneX, our culture and client-first approach, as well as the value we provide to all our clients.”</w:t>
      </w:r>
    </w:p>
    <w:p>
      <w:pPr>
        <w:spacing w:after="0" w:line="225"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John Radziwill, Chairman of the Board of StoneX, added, “We are extremely pleased to welcome Dhamu to the StoneX board. His experience and expertise in commodity risk management and global supply chains, as well as global macro economics will provide valuable expertise and insight and strengthen the board oversight and leadership."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StoneX Group Inc.</w:t>
      </w:r>
    </w:p>
    <w:p>
      <w:pPr>
        <w:spacing w:after="0" w:line="1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 xml:space="preserve">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StoneX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over 3,000 employees serve more than 35,000 commercial and institutional clients, and more than 340,000 active retail accounts, from more than 40 offices spread across five continents. Further information on StoneX is available at </w:t>
      </w:r>
      <w:r>
        <w:rPr>
          <w:rFonts w:ascii="Arial" w:cs="Arial" w:eastAsia="Arial" w:hAnsi="Arial"/>
          <w:sz w:val="17"/>
          <w:szCs w:val="17"/>
          <w:color w:val="0000FF"/>
        </w:rPr>
        <w:t>www.stonex.com</w:t>
      </w:r>
      <w:r>
        <w:rPr>
          <w:rFonts w:ascii="Arial" w:cs="Arial" w:eastAsia="Arial" w:hAnsi="Arial"/>
          <w:sz w:val="17"/>
          <w:szCs w:val="17"/>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Kent R. Coughlin</w:t>
      </w:r>
    </w:p>
    <w:p>
      <w:pPr>
        <w:spacing w:after="0" w:line="232" w:lineRule="auto"/>
        <w:rPr>
          <w:sz w:val="20"/>
          <w:szCs w:val="20"/>
          <w:color w:val="auto"/>
        </w:rPr>
      </w:pPr>
      <w:r>
        <w:rPr>
          <w:rFonts w:ascii="Arial" w:cs="Arial" w:eastAsia="Arial" w:hAnsi="Arial"/>
          <w:sz w:val="17"/>
          <w:szCs w:val="17"/>
          <w:color w:val="auto"/>
        </w:rPr>
        <w:t>Director of Public Relations</w:t>
      </w:r>
    </w:p>
    <w:p>
      <w:pPr>
        <w:spacing w:after="0" w:line="232" w:lineRule="auto"/>
        <w:rPr>
          <w:sz w:val="20"/>
          <w:szCs w:val="20"/>
          <w:color w:val="auto"/>
        </w:rPr>
      </w:pPr>
      <w:r>
        <w:rPr>
          <w:rFonts w:ascii="Arial" w:cs="Arial" w:eastAsia="Arial" w:hAnsi="Arial"/>
          <w:sz w:val="17"/>
          <w:szCs w:val="17"/>
          <w:color w:val="auto"/>
        </w:rPr>
        <w:t>StoneX Group Inc.</w:t>
      </w:r>
    </w:p>
    <w:p>
      <w:pPr>
        <w:spacing w:after="0" w:line="232" w:lineRule="auto"/>
        <w:rPr>
          <w:sz w:val="20"/>
          <w:szCs w:val="20"/>
          <w:color w:val="auto"/>
        </w:rPr>
      </w:pPr>
      <w:r>
        <w:rPr>
          <w:rFonts w:ascii="Arial" w:cs="Arial" w:eastAsia="Arial" w:hAnsi="Arial"/>
          <w:sz w:val="17"/>
          <w:szCs w:val="17"/>
          <w:color w:val="auto"/>
        </w:rPr>
        <w:t>615-724-2756</w:t>
      </w:r>
    </w:p>
    <w:p>
      <w:pPr>
        <w:spacing w:after="0"/>
        <w:rPr>
          <w:sz w:val="20"/>
          <w:szCs w:val="20"/>
          <w:color w:val="auto"/>
        </w:rPr>
      </w:pPr>
      <w:r>
        <w:rPr>
          <w:rFonts w:ascii="Arial" w:cs="Arial" w:eastAsia="Arial" w:hAnsi="Arial"/>
          <w:sz w:val="17"/>
          <w:szCs w:val="17"/>
          <w:color w:val="auto"/>
        </w:rPr>
        <w:t>Kent.Coughlin@StoneX.com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SNEX-G</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2021-10-06T11:51:57Z</dcterms:created>
  <dcterms:modified xsi:type="dcterms:W3CDTF">2021-10-06T11:51:57Z</dcterms:modified>
</cp:coreProperties>
</file>