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345440</wp:posOffset>
            </wp:positionH>
            <wp:positionV relativeFrom="page">
              <wp:posOffset>791845</wp:posOffset>
            </wp:positionV>
            <wp:extent cx="6866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817880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CURRENT REPORT</w:t>
      </w:r>
    </w:p>
    <w:p>
      <w:pPr>
        <w:spacing w:after="0" w:line="113" w:lineRule="exact"/>
        <w:rPr>
          <w:sz w:val="24"/>
          <w:szCs w:val="24"/>
          <w:color w:val="auto"/>
        </w:rPr>
      </w:pPr>
    </w:p>
    <w:p>
      <w:pPr>
        <w:jc w:val="center"/>
        <w:ind w:left="2140" w:right="1980"/>
        <w:spacing w:after="0" w:line="323" w:lineRule="auto"/>
        <w:rPr>
          <w:sz w:val="20"/>
          <w:szCs w:val="20"/>
          <w:color w:val="auto"/>
        </w:rPr>
      </w:pPr>
      <w:r>
        <w:rPr>
          <w:rFonts w:ascii="Arial" w:cs="Arial" w:eastAsia="Arial" w:hAnsi="Arial"/>
          <w:sz w:val="22"/>
          <w:szCs w:val="22"/>
          <w:b w:val="1"/>
          <w:bCs w:val="1"/>
          <w:color w:val="auto"/>
        </w:rPr>
        <w:t>Pursuant to Section 13 or 15(d) of the Securities Exchange Act of 1934 Date of Report (Date of earliest event reported): August 9, 2021</w:t>
      </w: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StoneX Group Inc.</w:t>
      </w:r>
    </w:p>
    <w:p>
      <w:pPr>
        <w:spacing w:after="0" w:line="1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sectPr>
      </w:pPr>
    </w:p>
    <w:p>
      <w:pPr>
        <w:spacing w:after="0" w:line="374"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000-23554</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59-2921318</w:t>
      </w:r>
    </w:p>
    <w:p>
      <w:pPr>
        <w:spacing w:after="0" w:line="50" w:lineRule="exact"/>
        <w:rPr>
          <w:sz w:val="24"/>
          <w:szCs w:val="24"/>
          <w:color w:val="auto"/>
        </w:rPr>
      </w:pPr>
    </w:p>
    <w:p>
      <w:pPr>
        <w:sectPr>
          <w:pgSz w:w="11900" w:h="16838" w:orient="portrait"/>
          <w:cols w:equalWidth="0" w:num="3">
            <w:col w:w="4600" w:space="720"/>
            <w:col w:w="2640" w:space="720"/>
            <w:col w:w="2400"/>
          </w:cols>
          <w:pgMar w:left="320" w:top="1440" w:right="499" w:bottom="1440" w:gutter="0" w:footer="0" w:header="0"/>
          <w:type w:val="continuous"/>
        </w:sectPr>
      </w:pPr>
    </w:p>
    <w:p>
      <w:pPr>
        <w:ind w:left="1400"/>
        <w:spacing w:after="0"/>
        <w:rPr>
          <w:sz w:val="20"/>
          <w:szCs w:val="20"/>
          <w:color w:val="auto"/>
        </w:rPr>
      </w:pPr>
      <w:r>
        <w:rPr>
          <w:rFonts w:ascii="Arial" w:cs="Arial" w:eastAsia="Arial" w:hAnsi="Arial"/>
          <w:sz w:val="15"/>
          <w:szCs w:val="15"/>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 No.)</w:t>
      </w:r>
    </w:p>
    <w:p>
      <w:pPr>
        <w:spacing w:after="0" w:line="174" w:lineRule="exact"/>
        <w:rPr>
          <w:sz w:val="24"/>
          <w:szCs w:val="24"/>
          <w:color w:val="auto"/>
        </w:rPr>
      </w:pPr>
    </w:p>
    <w:p>
      <w:pPr>
        <w:sectPr>
          <w:pgSz w:w="11900" w:h="16838" w:orient="portrait"/>
          <w:cols w:equalWidth="0" w:num="3">
            <w:col w:w="4060" w:space="720"/>
            <w:col w:w="2820" w:space="720"/>
            <w:col w:w="2760"/>
          </w:cols>
          <w:pgMar w:left="320" w:top="1440" w:right="49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230 Park Ave, 10th Floor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NY 10169</w:t>
      </w:r>
    </w:p>
    <w:p>
      <w:pPr>
        <w:spacing w:after="0" w:line="7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w:t>
      </w:r>
      <w:r>
        <w:rPr>
          <w:rFonts w:ascii="Arial" w:cs="Arial" w:eastAsia="Arial" w:hAnsi="Arial"/>
          <w:sz w:val="18"/>
          <w:szCs w:val="18"/>
          <w:color w:val="auto"/>
        </w:rPr>
        <w:t>)</w:t>
      </w:r>
      <w:r>
        <w:rPr>
          <w:rFonts w:ascii="Arial" w:cs="Arial" w:eastAsia="Arial" w:hAnsi="Arial"/>
          <w:sz w:val="18"/>
          <w:szCs w:val="18"/>
          <w:b w:val="1"/>
          <w:bCs w:val="1"/>
          <w:color w:val="auto"/>
        </w:rPr>
        <w:t xml:space="preserve"> 485-3500</w:t>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68"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type w:val="continuous"/>
        </w:sectPr>
      </w:pPr>
    </w:p>
    <w:p>
      <w:pPr>
        <w:spacing w:after="0" w:line="81" w:lineRule="exact"/>
        <w:rPr>
          <w:sz w:val="24"/>
          <w:szCs w:val="24"/>
          <w:color w:val="auto"/>
        </w:rPr>
      </w:pPr>
    </w:p>
    <w:p>
      <w:pPr>
        <w:jc w:val="center"/>
        <w:ind w:left="500" w:right="1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05"/>
        </w:trPr>
        <w:tc>
          <w:tcPr>
            <w:tcW w:w="4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SNEX</w:t>
            </w:r>
          </w:p>
        </w:tc>
        <w:tc>
          <w:tcPr>
            <w:tcW w:w="10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3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037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037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0377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9, 2021, the Company issued a news release on the subject of the Company's results of operations and financial condition for the fiscal quarter ended June 30,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attached hereto as Exhibit 99.1.</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under this Item 2.02,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99.1 Press release dated August 9, 2021</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1553845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259715</wp:posOffset>
            </wp:positionH>
            <wp:positionV relativeFrom="page">
              <wp:posOffset>782955</wp:posOffset>
            </wp:positionV>
            <wp:extent cx="70377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17145"/>
                    </a:xfrm>
                    <a:prstGeom prst="rect">
                      <a:avLst/>
                    </a:prstGeom>
                    <a:noFill/>
                  </pic:spPr>
                </pic:pic>
              </a:graphicData>
            </a:graphic>
          </wp:anchor>
        </w:drawing>
        <w:t>Signature</w:t>
      </w:r>
    </w:p>
    <w:p>
      <w:pPr>
        <w:spacing w:after="0" w:line="1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33"/>
        </w:trPr>
        <w:tc>
          <w:tcPr>
            <w:tcW w:w="4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2"/>
              </w:rPr>
              <w:t>StoneX Group Inc.</w:t>
            </w:r>
          </w:p>
        </w:tc>
      </w:tr>
      <w:tr>
        <w:trPr>
          <w:trHeight w:val="225"/>
        </w:trPr>
        <w:tc>
          <w:tcPr>
            <w:tcW w:w="4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234"/>
        </w:trPr>
        <w:tc>
          <w:tcPr>
            <w:tcW w:w="530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8"/>
              </w:rPr>
              <w:t>August 9, 2021</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9"/>
              </w:rPr>
              <w:t>/s/ WILLIAM J. DUNAWAY</w:t>
            </w:r>
          </w:p>
        </w:tc>
      </w:tr>
      <w:tr>
        <w:trPr>
          <w:trHeight w:val="222"/>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c>
          <w:tcPr>
            <w:tcW w:w="960" w:type="dxa"/>
            <w:vAlign w:val="bottom"/>
          </w:tcPr>
          <w:p>
            <w:pPr>
              <w:spacing w:after="0"/>
              <w:rPr>
                <w:sz w:val="19"/>
                <w:szCs w:val="19"/>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William J. Dunaway</w:t>
            </w:r>
          </w:p>
        </w:tc>
      </w:tr>
      <w:tr>
        <w:trPr>
          <w:trHeight w:val="230"/>
        </w:trPr>
        <w:tc>
          <w:tcPr>
            <w:tcW w:w="4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000"/>
          </w:cols>
          <w:pgMar w:left="320" w:top="1417" w:right="5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4500" cy="848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StoneX Group Inc. Reports Fiscal 2021 Third Quarter Financial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Operating Revenues of $431.5 million, up 34%</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Net Income of $34.2 million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Diluted EPS of $1.67 per share, ROE of 15.5%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New York, NY – August 9, 2021 </w:t>
      </w:r>
      <w:r>
        <w:rPr>
          <w:rFonts w:ascii="Arial" w:cs="Arial" w:eastAsia="Arial" w:hAnsi="Arial"/>
          <w:sz w:val="18"/>
          <w:szCs w:val="18"/>
          <w:color w:val="auto"/>
        </w:rPr>
        <w:t>– StoneX Group Inc. (the “Company”; NASDAQ: SNEX), a diversified global brokerage and financial services firm</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execution, risk management and advisory services, market intelligence and clearing services across multiple asset classes and markets around the world, today announced its financial results for the fiscal year 2021 third quarter ended June 30, 2021.</w:t>
      </w:r>
    </w:p>
    <w:p>
      <w:pPr>
        <w:spacing w:after="0" w:line="58"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Sean M. O’Connor, CEO of StoneX Group Inc., stated, “We continued to deliver strong financial results in our fiscal third quarter with a 34% increase in operating revenues and an ROE in excess of our 15% target. I am especially pleased that our year-to-date earnings are up 18% versus last year's exceptional results which were buoyed by the extreme market volatility resulting from the onset of the COVID-19 pandemic in early 2020. The continued growth in our trading volumes across nearly all of our platforms, as well as the increase in our client equity, which now stands at nearly $6 billion, reflect the expansion of our customer footprint and their deeper engagement with StoneX."</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StoneX Group Inc. Summary Financials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Consolidated financial statements for the Company will be included in our Quarterly Report on Form 10-Q to be filed with the SEC. The Quarterly Report on Form 10-Q will also be made available on the Company’s website at www.stonex.com.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640"/>
              <w:spacing w:after="0"/>
              <w:rPr>
                <w:sz w:val="20"/>
                <w:szCs w:val="20"/>
                <w:color w:val="auto"/>
              </w:rPr>
            </w:pPr>
            <w:r>
              <w:rPr>
                <w:rFonts w:ascii="Arial" w:cs="Arial" w:eastAsia="Arial" w:hAnsi="Arial"/>
                <w:sz w:val="13"/>
                <w:szCs w:val="13"/>
                <w:b w:val="1"/>
                <w:bCs w:val="1"/>
                <w:color w:val="auto"/>
                <w:w w:val="91"/>
              </w:rPr>
              <w:t>Three Months Ended June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680"/>
              <w:spacing w:after="0"/>
              <w:rPr>
                <w:sz w:val="20"/>
                <w:szCs w:val="20"/>
                <w:color w:val="auto"/>
              </w:rPr>
            </w:pPr>
            <w:r>
              <w:rPr>
                <w:rFonts w:ascii="Arial" w:cs="Arial" w:eastAsia="Arial" w:hAnsi="Arial"/>
                <w:sz w:val="13"/>
                <w:szCs w:val="13"/>
                <w:b w:val="1"/>
                <w:bCs w:val="1"/>
                <w:color w:val="auto"/>
                <w:w w:val="92"/>
              </w:rPr>
              <w:t>Nine Months Ended June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(Unaudited) (in millions, except share and per share amounts)</w:t>
            </w:r>
          </w:p>
        </w:tc>
        <w:tc>
          <w:tcPr>
            <w:tcW w:w="220" w:type="dxa"/>
            <w:vAlign w:val="bottom"/>
          </w:tcPr>
          <w:p>
            <w:pPr>
              <w:spacing w:after="0"/>
              <w:rPr>
                <w:sz w:val="10"/>
                <w:szCs w:val="10"/>
                <w:color w:val="auto"/>
              </w:rPr>
            </w:pPr>
          </w:p>
        </w:tc>
        <w:tc>
          <w:tcPr>
            <w:tcW w:w="860" w:type="dxa"/>
            <w:vAlign w:val="bottom"/>
            <w:vMerge w:val="restart"/>
          </w:tcPr>
          <w:p>
            <w:pPr>
              <w:jc w:val="right"/>
              <w:ind w:right="34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4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ind w:right="329"/>
              <w:spacing w:after="0" w:line="122"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349"/>
              <w:spacing w:after="0" w:line="122"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4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Change</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Sales of physical commodities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9,785.9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7,944.5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23 %</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29,473.7</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38,939.4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gains, net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Commission and clearing fees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management, and account fees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6"/>
        </w:trPr>
        <w:tc>
          <w:tcPr>
            <w:tcW w:w="4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income</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6"/>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30,687.4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39,854.7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4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Cost of sales of physical commodities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9,760.6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7,920.8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29,404.4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38,888.5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Transaction-based clearing expenses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Introducing broker commissions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 on corporate funding</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179"/>
        </w:trPr>
        <w:tc>
          <w:tcPr>
            <w:tcW w:w="4280" w:type="dxa"/>
            <w:vAlign w:val="bottom"/>
          </w:tcPr>
          <w:p>
            <w:pPr>
              <w:ind w:left="20"/>
              <w:spacing w:after="0"/>
              <w:rPr>
                <w:sz w:val="20"/>
                <w:szCs w:val="20"/>
                <w:color w:val="auto"/>
              </w:rPr>
            </w:pPr>
            <w:r>
              <w:rPr>
                <w:rFonts w:ascii="Arial" w:cs="Arial" w:eastAsia="Arial" w:hAnsi="Arial"/>
                <w:sz w:val="14"/>
                <w:szCs w:val="14"/>
                <w:color w:val="auto"/>
              </w:rPr>
              <w:t>Net operating revenues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31 %</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888.3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other expenses: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Variable compensation and benefits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Fixed compensation and benefits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Trading systems and market information</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Professional fees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Non-trading technology and support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Occupancy and equipment rental</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Selling and marketing</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1,520 %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Travel and business development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Communications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186"/>
        </w:trPr>
        <w:tc>
          <w:tcPr>
            <w:tcW w:w="4280" w:type="dxa"/>
            <w:vAlign w:val="bottom"/>
          </w:tcPr>
          <w:p>
            <w:pPr>
              <w:ind w:left="360"/>
              <w:spacing w:after="0"/>
              <w:rPr>
                <w:sz w:val="20"/>
                <w:szCs w:val="20"/>
                <w:color w:val="auto"/>
              </w:rPr>
            </w:pPr>
            <w:r>
              <w:rPr>
                <w:rFonts w:ascii="Arial" w:cs="Arial" w:eastAsia="Arial" w:hAnsi="Arial"/>
                <w:sz w:val="14"/>
                <w:szCs w:val="14"/>
                <w:color w:val="auto"/>
              </w:rPr>
              <w:t>Bad debts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79"/>
        </w:trPr>
        <w:tc>
          <w:tcPr>
            <w:tcW w:w="4280" w:type="dxa"/>
            <w:vAlign w:val="bottom"/>
          </w:tcPr>
          <w:p>
            <w:pPr>
              <w:ind w:left="20"/>
              <w:spacing w:after="0"/>
              <w:rPr>
                <w:sz w:val="20"/>
                <w:szCs w:val="20"/>
                <w:color w:val="auto"/>
              </w:rPr>
            </w:pPr>
            <w:r>
              <w:rPr>
                <w:rFonts w:ascii="Arial" w:cs="Arial" w:eastAsia="Arial" w:hAnsi="Arial"/>
                <w:sz w:val="14"/>
                <w:szCs w:val="14"/>
                <w:color w:val="auto"/>
              </w:rPr>
              <w:t>Total compensation and other expenses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43 %</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acquisitions and other gains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n/m</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9"/>
        </w:trPr>
        <w:tc>
          <w:tcPr>
            <w:tcW w:w="4280" w:type="dxa"/>
            <w:vAlign w:val="bottom"/>
          </w:tcPr>
          <w:p>
            <w:pPr>
              <w:ind w:left="20"/>
              <w:spacing w:after="0"/>
              <w:rPr>
                <w:sz w:val="20"/>
                <w:szCs w:val="20"/>
                <w:color w:val="auto"/>
              </w:rPr>
            </w:pPr>
            <w:r>
              <w:rPr>
                <w:rFonts w:ascii="Arial" w:cs="Arial" w:eastAsia="Arial" w:hAnsi="Arial"/>
                <w:sz w:val="14"/>
                <w:szCs w:val="14"/>
                <w:color w:val="auto"/>
              </w:rPr>
              <w:t>Income before tax</w:t>
            </w: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149.2</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126.8</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 expense</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6"/>
        </w:trPr>
        <w:tc>
          <w:tcPr>
            <w:tcW w:w="4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Earnings per share:</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36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common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2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19,255,452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18,807,104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19,102,244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18,809,823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ind w:left="36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19,855,226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19,103,166</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19,669,397</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19,122,681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n/m = not meaningful to present as a percentage</w:t>
      </w:r>
    </w:p>
    <w:p>
      <w:pPr>
        <w:sectPr>
          <w:pgSz w:w="11900" w:h="16838" w:orient="portrait"/>
          <w:cols w:equalWidth="0" w:num="1">
            <w:col w:w="11240"/>
          </w:cols>
          <w:pgMar w:left="320" w:top="106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following table presents our consolidated operating revenues by segment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gridSpan w:val="7"/>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160" w:type="dxa"/>
            <w:vAlign w:val="bottom"/>
            <w:gridSpan w:val="6"/>
          </w:tcPr>
          <w:p>
            <w:pPr>
              <w:jc w:val="right"/>
              <w:ind w:right="748"/>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r>
      <w:tr>
        <w:trPr>
          <w:trHeight w:val="170"/>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Segment operating revenues represented by:</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Commercial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152.2</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46 %</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402.1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323.7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24 %</w:t>
            </w: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Institutional</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Retail</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252 %</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266 %</w:t>
            </w: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Global Payments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89"/>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Eliminations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Operating revenues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431.5</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322.6</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2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1,283.0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966.2</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33 %</w:t>
            </w:r>
          </w:p>
        </w:tc>
      </w:tr>
      <w:tr>
        <w:trPr>
          <w:trHeight w:val="21"/>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income by segment for the periods indicated.</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160" w:type="dxa"/>
            <w:vAlign w:val="bottom"/>
            <w:gridSpan w:val="6"/>
          </w:tcPr>
          <w:p>
            <w:pPr>
              <w:jc w:val="right"/>
              <w:ind w:right="728"/>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Segment income represented by:</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4220" w:type="dxa"/>
            <w:vAlign w:val="bottom"/>
          </w:tcPr>
          <w:p>
            <w:pPr>
              <w:ind w:left="220"/>
              <w:spacing w:after="0"/>
              <w:rPr>
                <w:sz w:val="20"/>
                <w:szCs w:val="20"/>
                <w:color w:val="auto"/>
              </w:rPr>
            </w:pPr>
            <w:r>
              <w:rPr>
                <w:rFonts w:ascii="Arial" w:cs="Arial" w:eastAsia="Arial" w:hAnsi="Arial"/>
                <w:sz w:val="14"/>
                <w:szCs w:val="14"/>
                <w:color w:val="auto"/>
              </w:rPr>
              <w:t>Commercial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62 %</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148.1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38 %</w:t>
            </w:r>
          </w:p>
        </w:tc>
      </w:tr>
      <w:tr>
        <w:trPr>
          <w:trHeight w:val="192"/>
        </w:trPr>
        <w:tc>
          <w:tcPr>
            <w:tcW w:w="4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Institutional</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186"/>
        </w:trPr>
        <w:tc>
          <w:tcPr>
            <w:tcW w:w="4220" w:type="dxa"/>
            <w:vAlign w:val="bottom"/>
          </w:tcPr>
          <w:p>
            <w:pPr>
              <w:ind w:left="220"/>
              <w:spacing w:after="0"/>
              <w:rPr>
                <w:sz w:val="20"/>
                <w:szCs w:val="20"/>
                <w:color w:val="auto"/>
              </w:rPr>
            </w:pPr>
            <w:r>
              <w:rPr>
                <w:rFonts w:ascii="Arial" w:cs="Arial" w:eastAsia="Arial" w:hAnsi="Arial"/>
                <w:sz w:val="14"/>
                <w:szCs w:val="14"/>
                <w:color w:val="auto"/>
              </w:rPr>
              <w:t>Retail</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308 %</w:t>
            </w:r>
          </w:p>
        </w:tc>
      </w:tr>
      <w:tr>
        <w:trPr>
          <w:trHeight w:val="189"/>
        </w:trPr>
        <w:tc>
          <w:tcPr>
            <w:tcW w:w="4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Global Payments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Total segment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24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407.4</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303.8</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42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Reconciliation of segment income to income before tax:</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20 %</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407.4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303.8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34 %</w:t>
            </w:r>
          </w:p>
        </w:tc>
      </w:tr>
      <w:tr>
        <w:trPr>
          <w:trHeight w:val="192"/>
        </w:trPr>
        <w:tc>
          <w:tcPr>
            <w:tcW w:w="4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costs not allocated to operating segments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r>
      <w:tr>
        <w:trPr>
          <w:trHeight w:val="186"/>
        </w:trPr>
        <w:tc>
          <w:tcPr>
            <w:tcW w:w="4220" w:type="dxa"/>
            <w:vAlign w:val="bottom"/>
          </w:tcPr>
          <w:p>
            <w:pPr>
              <w:ind w:left="220"/>
              <w:spacing w:after="0"/>
              <w:rPr>
                <w:sz w:val="20"/>
                <w:szCs w:val="20"/>
                <w:color w:val="auto"/>
              </w:rPr>
            </w:pPr>
            <w:r>
              <w:rPr>
                <w:rFonts w:ascii="Arial" w:cs="Arial" w:eastAsia="Arial" w:hAnsi="Arial"/>
                <w:sz w:val="14"/>
                <w:szCs w:val="14"/>
                <w:color w:val="auto"/>
              </w:rPr>
              <w:t>Gain on acquisitions and other gains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1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tax</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Operating Metrics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tables below present a disaggregation of consolidated operating revenues and select operating data and metrics used by management in evaluating our performance, for the periods indicated.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All $ amounts are U.S. dollar or U.S. dollar equivalents</w:t>
            </w:r>
          </w:p>
        </w:tc>
        <w:tc>
          <w:tcPr>
            <w:tcW w:w="240" w:type="dxa"/>
            <w:vAlign w:val="bottom"/>
          </w:tcPr>
          <w:p>
            <w:pPr>
              <w:spacing w:after="0"/>
              <w:rPr>
                <w:sz w:val="16"/>
                <w:szCs w:val="16"/>
                <w:color w:val="auto"/>
              </w:rPr>
            </w:pPr>
          </w:p>
        </w:tc>
        <w:tc>
          <w:tcPr>
            <w:tcW w:w="332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100" w:type="dxa"/>
            <w:vAlign w:val="bottom"/>
            <w:gridSpan w:val="6"/>
          </w:tcPr>
          <w:p>
            <w:pPr>
              <w:ind w:left="540"/>
              <w:spacing w:after="0"/>
              <w:rPr>
                <w:sz w:val="20"/>
                <w:szCs w:val="20"/>
                <w:color w:val="auto"/>
              </w:rPr>
            </w:pPr>
            <w:r>
              <w:rPr>
                <w:rFonts w:ascii="Arial" w:cs="Arial" w:eastAsia="Arial" w:hAnsi="Arial"/>
                <w:sz w:val="14"/>
                <w:szCs w:val="14"/>
                <w:b w:val="1"/>
                <w:bCs w:val="1"/>
                <w:color w:val="auto"/>
              </w:rPr>
              <w:t>Nine Months Ended June 30,</w:t>
            </w:r>
          </w:p>
        </w:tc>
      </w:tr>
      <w:tr>
        <w:trPr>
          <w:trHeight w:val="187"/>
        </w:trPr>
        <w:tc>
          <w:tcPr>
            <w:tcW w:w="43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170"/>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Revenues (in millions):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Listed derivatives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297.9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245.9</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21%</w:t>
            </w:r>
          </w:p>
        </w:tc>
      </w:tr>
      <w:tr>
        <w:trPr>
          <w:trHeight w:val="192"/>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OTC derivatives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23%</w:t>
            </w: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357.5</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18%</w:t>
            </w:r>
          </w:p>
        </w:tc>
      </w:tr>
      <w:tr>
        <w:trPr>
          <w:trHeight w:val="192"/>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FX / Contract For Difference (“CFD”) contracts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979%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918%</w:t>
            </w: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Global payments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27%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17%</w:t>
            </w:r>
          </w:p>
        </w:tc>
      </w:tr>
      <w:tr>
        <w:trPr>
          <w:trHeight w:val="192"/>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Physical contracts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33%</w:t>
            </w: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Interest / fees earned on client balances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52%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(52)%</w:t>
            </w:r>
          </w:p>
        </w:tc>
      </w:tr>
      <w:tr>
        <w:trPr>
          <w:trHeight w:val="192"/>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7"/>
              </w:rPr>
              <w:t>(187)%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(111)%</w:t>
            </w:r>
          </w:p>
        </w:tc>
      </w:tr>
      <w:tr>
        <w:trPr>
          <w:trHeight w:val="18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Eliminations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(25)%</w:t>
            </w:r>
          </w:p>
        </w:tc>
      </w:tr>
      <w:tr>
        <w:trPr>
          <w:trHeight w:val="182"/>
        </w:trPr>
        <w:tc>
          <w:tcPr>
            <w:tcW w:w="434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322.6</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34%</w:t>
            </w:r>
          </w:p>
        </w:tc>
        <w:tc>
          <w:tcPr>
            <w:tcW w:w="2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1,283.0</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966.2</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33%</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8"/>
        </w:trPr>
        <w:tc>
          <w:tcPr>
            <w:tcW w:w="4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188"/>
        </w:trPr>
        <w:tc>
          <w:tcPr>
            <w:tcW w:w="55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Volumes and Other Select Data (all $ amounts are U.S. dollar or U.S. dollar equivalents):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Listed derivatives (contracts, 000’s)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37,627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110,097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119,299</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 xml:space="preserve">Listed derivatives, average rate per contract </w:t>
            </w:r>
            <w:r>
              <w:rPr>
                <w:rFonts w:ascii="Arial" w:cs="Arial" w:eastAsia="Arial" w:hAnsi="Arial"/>
                <w:sz w:val="9"/>
                <w:szCs w:val="9"/>
                <w:color w:val="auto"/>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36%</w:t>
            </w:r>
          </w:p>
        </w:tc>
      </w:tr>
      <w:tr>
        <w:trPr>
          <w:trHeight w:val="192"/>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Average client equity - listed derivatives (millions)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45%</w:t>
            </w: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Over-the-counter (“OTC”) derivatives (contracts, 000’s)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1,638</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15%</w:t>
            </w:r>
          </w:p>
        </w:tc>
      </w:tr>
      <w:tr>
        <w:trPr>
          <w:trHeight w:val="192"/>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OTC derivatives, average rate per contract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Securities average daily volume (“ADV”) (millions)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2,901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2,687</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54%</w:t>
            </w:r>
          </w:p>
        </w:tc>
      </w:tr>
      <w:tr>
        <w:trPr>
          <w:trHeight w:val="192"/>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Securities rate per million (“RPM”) </w:t>
            </w:r>
            <w:r>
              <w:rPr>
                <w:rFonts w:ascii="Arial" w:cs="Arial" w:eastAsia="Arial" w:hAnsi="Arial"/>
                <w:sz w:val="9"/>
                <w:szCs w:val="9"/>
                <w:color w:val="auto"/>
              </w:rPr>
              <w:t>(2)</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(23)%</w:t>
            </w: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Average money market / FDIC sweep client balances (millions)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1,611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1,066</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34%</w:t>
            </w:r>
          </w:p>
        </w:tc>
      </w:tr>
      <w:tr>
        <w:trPr>
          <w:trHeight w:val="192"/>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FX / CFD contracts ADV (millions) </w:t>
            </w:r>
            <w:r>
              <w:rPr>
                <w:rFonts w:ascii="Arial" w:cs="Arial" w:eastAsia="Arial" w:hAnsi="Arial"/>
                <w:sz w:val="9"/>
                <w:szCs w:val="9"/>
                <w:color w:val="auto"/>
              </w:rPr>
              <w:t>(3)</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976%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675%</w:t>
            </w:r>
          </w:p>
        </w:tc>
      </w:tr>
      <w:tr>
        <w:trPr>
          <w:trHeight w:val="186"/>
        </w:trPr>
        <w:tc>
          <w:tcPr>
            <w:tcW w:w="4340" w:type="dxa"/>
            <w:vAlign w:val="bottom"/>
          </w:tcPr>
          <w:p>
            <w:pPr>
              <w:ind w:left="220"/>
              <w:spacing w:after="0"/>
              <w:rPr>
                <w:sz w:val="20"/>
                <w:szCs w:val="20"/>
                <w:color w:val="auto"/>
              </w:rPr>
            </w:pPr>
            <w:r>
              <w:rPr>
                <w:rFonts w:ascii="Arial" w:cs="Arial" w:eastAsia="Arial" w:hAnsi="Arial"/>
                <w:sz w:val="14"/>
                <w:szCs w:val="14"/>
                <w:color w:val="auto"/>
              </w:rPr>
              <w:t>FX / CFD contracts RPM</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(1)%</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27%</w:t>
            </w:r>
          </w:p>
        </w:tc>
      </w:tr>
      <w:tr>
        <w:trPr>
          <w:trHeight w:val="192"/>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Global Payments ADV (millions)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r>
      <w:tr>
        <w:trPr>
          <w:trHeight w:val="182"/>
        </w:trPr>
        <w:tc>
          <w:tcPr>
            <w:tcW w:w="4340" w:type="dxa"/>
            <w:vAlign w:val="bottom"/>
          </w:tcPr>
          <w:p>
            <w:pPr>
              <w:ind w:left="220"/>
              <w:spacing w:after="0"/>
              <w:rPr>
                <w:sz w:val="20"/>
                <w:szCs w:val="20"/>
                <w:color w:val="auto"/>
              </w:rPr>
            </w:pPr>
            <w:r>
              <w:rPr>
                <w:rFonts w:ascii="Arial" w:cs="Arial" w:eastAsia="Arial" w:hAnsi="Arial"/>
                <w:sz w:val="14"/>
                <w:szCs w:val="14"/>
                <w:color w:val="auto"/>
              </w:rPr>
              <w:t>Global Payments RPM</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9,786</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10,650</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(8)%</w:t>
            </w:r>
          </w:p>
        </w:tc>
        <w:tc>
          <w:tcPr>
            <w:tcW w:w="2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10,041</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9,957</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8"/>
              </w:rPr>
              <w:t>1%</w:t>
            </w:r>
          </w:p>
        </w:tc>
      </w:tr>
    </w:tbl>
    <w:p>
      <w:pPr>
        <w:spacing w:after="0" w:line="104" w:lineRule="exact"/>
        <w:rPr>
          <w:sz w:val="20"/>
          <w:szCs w:val="20"/>
          <w:color w:val="auto"/>
        </w:rPr>
      </w:pPr>
    </w:p>
    <w:p>
      <w:pPr>
        <w:ind w:left="440" w:hanging="414"/>
        <w:spacing w:after="0"/>
        <w:tabs>
          <w:tab w:leader="none" w:pos="4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Give-up fees as well as cash and voice brokerage revenues are excluded from the calculation of listed derivatives, average rate per contract.</w:t>
      </w:r>
    </w:p>
    <w:p>
      <w:pPr>
        <w:spacing w:after="0" w:line="25" w:lineRule="exact"/>
        <w:rPr>
          <w:rFonts w:ascii="Arial" w:cs="Arial" w:eastAsia="Arial" w:hAnsi="Arial"/>
          <w:sz w:val="16"/>
          <w:szCs w:val="16"/>
          <w:color w:val="auto"/>
          <w:vertAlign w:val="superscript"/>
        </w:rPr>
      </w:pPr>
    </w:p>
    <w:p>
      <w:pPr>
        <w:ind w:left="440" w:hanging="414"/>
        <w:spacing w:after="0" w:line="195" w:lineRule="auto"/>
        <w:tabs>
          <w:tab w:leader="none" w:pos="4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Interest income related to securities lending is excluded from the calculation of Securities RPM.</w:t>
      </w:r>
    </w:p>
    <w:p>
      <w:pPr>
        <w:spacing w:after="0" w:line="26" w:lineRule="exact"/>
        <w:rPr>
          <w:rFonts w:ascii="Arial" w:cs="Arial" w:eastAsia="Arial" w:hAnsi="Arial"/>
          <w:sz w:val="16"/>
          <w:szCs w:val="16"/>
          <w:color w:val="auto"/>
          <w:vertAlign w:val="superscript"/>
        </w:rPr>
      </w:pPr>
    </w:p>
    <w:p>
      <w:pPr>
        <w:ind w:left="440" w:right="440" w:hanging="414"/>
        <w:spacing w:after="0" w:line="195" w:lineRule="auto"/>
        <w:tabs>
          <w:tab w:leader="none" w:pos="4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The ADV for the three and nine months ended June 30, 2021 includes the ADV of Gain Capital Holdings, Inc. (“Gain”), which was acquired effective August 1, 2020. FX/CFD Contracts ADV from Gain is included in our Retail segment and our pre-existing FX activities are included in our Institutional segment.</w:t>
      </w:r>
    </w:p>
    <w:p>
      <w:pPr>
        <w:sectPr>
          <w:pgSz w:w="11900" w:h="16838" w:orient="portrait"/>
          <w:cols w:equalWidth="0" w:num="1">
            <w:col w:w="11240"/>
          </w:cols>
          <w:pgMar w:left="320" w:top="98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Operating Revenues</w:t>
      </w:r>
    </w:p>
    <w:p>
      <w:pPr>
        <w:spacing w:after="0" w:line="121"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Operating revenues increased $108.9 million, or 34%, to $431.5 million in the three months ended June 30, 2021 compared to $322.6 million in the three months ended June 30, 2020. The table above displays operating revenues disaggregated across the key products we provide to our clients.</w:t>
      </w:r>
    </w:p>
    <w:p>
      <w:pPr>
        <w:spacing w:after="0" w:line="38"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Operating revenues derived from listed derivatives increased $26.2 million, or 35%, to $101.8 million in the three months ended June 30, 2021 compared to $75.6 in the three months ended June 30, 2020. This growth was primarily driven by a 46% increase in the average rate per contract, principally due to an increase in volume from commercial customers, which was partially offset by an overall 5% decline in listed derivative contract volumes.</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revenues derived from OTC transactions increased $28.3 million, or 132%, to $49.7 million in the three months ended June 30, 2021 compared to $21.4 million in the three months ended June 30, 2020. This was the result of growth in OTC contract volumes and the average rate per contract of 43% and 64%, respectively in the three months ended June 30, 2021. This growth was principally driven by increased volatility in both grain and energy markets.</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revenue derived from securities transactions increased $0.9 million, or 1%, to $137.1 million in the three months ended June 30, 2021 compared to $136.2 million in the three months ended June 30, 2020. This growth was principally due to a 64% increase in ADV, which was partially offset by a 42% decline in the RPM as the prior year period benefited from wider spreads due to volatility driven by the onset of the COVID-19 pandemic.</w:t>
      </w:r>
    </w:p>
    <w:p>
      <w:pPr>
        <w:spacing w:after="0" w:line="4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Operating revenues derived from FX/CFD contracts increased $47.0 million, or 979% to $51.8 million in the three months ended June 30, 2021 compared to $4.8 million in the three months ended June 30, 2020, as a result of an incremental $48.1 million in FX/CFD contracts operating revenues in our Retail segment resulting from the acquisition of Gain which was partially offset by lower FX operating revenues in our Institutional FX prime brokerage business.</w:t>
      </w:r>
    </w:p>
    <w:p>
      <w:pPr>
        <w:spacing w:after="0" w:line="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revenues from global payments increased $7.3 million, or 27%, to $34.1 million in the three months ended June 30, 2021 compared to $26.8 million in the three months ended June 30, 2020, principally driven by a 38% increase in ADV.</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Operating revenues derived from physical contracts declined $2.1 million, or 5%, to $37.2 million in the three months ended June 30, 2021 compared to $39.3 million in the three months ended June 30, 2020. This decline was principally due to a decline in precious metals operating revenues, which was partially offset by an increase in agricultural and energy commodity revenues. The three months ended June 30, 2021 and 2020 include unrealized losses on derivative positions held against physical inventories carried at the lower of cost or net realizable value of $2.1 million and $2.5 million, respectively.</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and fee income earned on client balances, which is associated with our listed and OTC derivative, correspondent clearing, and independent wealth management product offerings, increased $2.4 million, or 52%, to $7.0 million in the three months ended June 30, 2021 compared to $4.6 million in the three months ended June 30, 2020. This was principally driven by an increase in average client equity and average FDIC sweep client balances of 31% and 28%,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Acquisitions and Other Gains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the three months ended June 30, 2021 include a gain of $3.3 million related to the acquisition of Gain in the fourth quarter of fiscal 2020, due to an adjustment to the final liabilities assumed, resulting in an adjustment from the initially determined values as of August 1, 2020. We also recognized a net gain on the disposal of fixed assets in the three months ended June 30, 2021.</w:t>
      </w:r>
    </w:p>
    <w:p>
      <w:pPr>
        <w:sectPr>
          <w:pgSz w:w="11900" w:h="16838" w:orient="portrait"/>
          <w:cols w:equalWidth="0" w:num="1">
            <w:col w:w="11220"/>
          </w:cols>
          <w:pgMar w:left="320" w:top="109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Variable vs. Fixed Expenses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our variable expenses and non-variable expenses as a percentage of total non-interest expenses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Nine Months Ended 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100" w:type="dxa"/>
            <w:vAlign w:val="bottom"/>
            <w:gridSpan w:val="2"/>
          </w:tcPr>
          <w:p>
            <w:pPr>
              <w:ind w:left="360"/>
              <w:spacing w:after="0" w:line="135"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940" w:type="dxa"/>
            <w:vAlign w:val="bottom"/>
          </w:tcPr>
          <w:p>
            <w:pPr>
              <w:ind w:left="320"/>
              <w:spacing w:after="0" w:line="135"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060" w:type="dxa"/>
            <w:vAlign w:val="bottom"/>
            <w:gridSpan w:val="2"/>
          </w:tcPr>
          <w:p>
            <w:pPr>
              <w:ind w:left="340"/>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Variable compensation and benefits</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Transaction-based clearing expenses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Introducing broker commissions</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9"/>
        </w:trPr>
        <w:tc>
          <w:tcPr>
            <w:tcW w:w="2820" w:type="dxa"/>
            <w:vAlign w:val="bottom"/>
          </w:tcPr>
          <w:p>
            <w:pPr>
              <w:ind w:left="360"/>
              <w:spacing w:after="0"/>
              <w:rPr>
                <w:sz w:val="20"/>
                <w:szCs w:val="20"/>
                <w:color w:val="auto"/>
              </w:rPr>
            </w:pPr>
            <w:r>
              <w:rPr>
                <w:rFonts w:ascii="Arial" w:cs="Arial" w:eastAsia="Arial" w:hAnsi="Arial"/>
                <w:sz w:val="14"/>
                <w:szCs w:val="14"/>
                <w:color w:val="auto"/>
              </w:rPr>
              <w:t>Total variable expenses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157.8</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61 %</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620.8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460.9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compensation and benefits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Other fixed expenses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17 %</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135.7</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Bad debts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79"/>
        </w:trPr>
        <w:tc>
          <w:tcPr>
            <w:tcW w:w="28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non-variable expenses</w:t>
            </w: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153.2</w:t>
            </w:r>
          </w:p>
        </w:tc>
        <w:tc>
          <w:tcPr>
            <w:tcW w:w="10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100.4</w:t>
            </w: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2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299.4</w:t>
            </w: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20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non-interest expenses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364.5</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258.2</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1,070.8</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760.3</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Our variable expenses include variable compensation paid to traders and risk management consultants, bonuses paid to operational, administrative, and executive employees, transaction-based clearing expenses and introducing broker commissions. We seek to make non-interest expenses variable to the greatest extent possible, and to keep our fixed costs as low as possible.</w:t>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the three months ended September 30, 2020, we modified the operating segments we use to evaluate our performance. Our business activities are managed as operating segments and organized into reportable segments consisting of Commercial, Institutional, Retail, and Global Payments. All segment information shown below has been revised to reflect the operating segment reorganization retroactive to October 1, 2019.</w:t>
      </w:r>
    </w:p>
    <w:p>
      <w:pPr>
        <w:spacing w:after="0" w:line="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tables below present the financial performance, a disaggregation of operating revenues, and select operating data and metrics used by management in evaluating the performance of our segments, for the periods indicated. Additional information on the performance of our segments will be included in our Quarterly Report on Form 10-Q to be filed with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260" w:type="dxa"/>
            <w:vAlign w:val="bottom"/>
            <w:gridSpan w:val="6"/>
          </w:tcPr>
          <w:p>
            <w:pPr>
              <w:ind w:left="62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17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Sales of physical commodities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9,315.9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7,884.5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18%</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28,479.4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38,730.1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(26)%</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gains, net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Commission and clearing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104.3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31%</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management and account fees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63%</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(33)%</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7,968.1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39,011.8</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(26)%</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Cost of sales of physical commodities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9,297.1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7,863.8</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18%</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28,429.1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38,688.1</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(27)%</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104.3</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323.7</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24%</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31%</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Introducing broker commissions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26%</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23%</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Variable direct compensation and benefits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39%</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83.5</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20%</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contribution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25%</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Fixed compensation and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3%</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fixed expenses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Bad debts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n/m</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(26)%</w:t>
            </w:r>
          </w:p>
        </w:tc>
      </w:tr>
      <w:tr>
        <w:trPr>
          <w:trHeight w:val="18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Non-variable direct expenses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73.5</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5%</w:t>
            </w:r>
          </w:p>
        </w:tc>
      </w:tr>
      <w:tr>
        <w:trPr>
          <w:trHeight w:val="179"/>
        </w:trPr>
        <w:tc>
          <w:tcPr>
            <w:tcW w:w="404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62%</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107.6</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38%</w:t>
            </w:r>
          </w:p>
        </w:tc>
      </w:tr>
      <w:tr>
        <w:trPr>
          <w:trHeight w:val="24"/>
        </w:trPr>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7"/>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17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 (in millions):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Listed derivatives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51%</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169.8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133.7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27%</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OTC derivatives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23%</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Physical contracts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(10)%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74.2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32%</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 fees earned on client balances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(23)%</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r>
      <w:tr>
        <w:trPr>
          <w:trHeight w:val="208"/>
        </w:trPr>
        <w:tc>
          <w:tcPr>
            <w:tcW w:w="4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46%</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402.1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323.7</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Select data (all $ amounts are U.S. dollar or U.S. dollar equivalents):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4040" w:type="dxa"/>
            <w:vAlign w:val="bottom"/>
          </w:tcPr>
          <w:p>
            <w:pPr>
              <w:ind w:left="340"/>
              <w:spacing w:after="0"/>
              <w:rPr>
                <w:sz w:val="20"/>
                <w:szCs w:val="20"/>
                <w:color w:val="auto"/>
              </w:rPr>
            </w:pPr>
            <w:r>
              <w:rPr>
                <w:rFonts w:ascii="Arial" w:cs="Arial" w:eastAsia="Arial" w:hAnsi="Arial"/>
                <w:sz w:val="14"/>
                <w:szCs w:val="14"/>
                <w:color w:val="auto"/>
              </w:rPr>
              <w:t>Listed derivatives (contracts, 000’s)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6,674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23,885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22,492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6%</w:t>
            </w:r>
          </w:p>
        </w:tc>
      </w:tr>
      <w:tr>
        <w:trPr>
          <w:trHeight w:val="192"/>
        </w:trPr>
        <w:tc>
          <w:tcPr>
            <w:tcW w:w="4040" w:type="dxa"/>
            <w:vAlign w:val="bottom"/>
            <w:shd w:val="clear" w:color="auto" w:fill="CCEEFF"/>
          </w:tcPr>
          <w:p>
            <w:pPr>
              <w:ind w:left="340"/>
              <w:spacing w:after="0" w:line="193" w:lineRule="exact"/>
              <w:rPr>
                <w:sz w:val="20"/>
                <w:szCs w:val="20"/>
                <w:color w:val="auto"/>
              </w:rPr>
            </w:pPr>
            <w:r>
              <w:rPr>
                <w:rFonts w:ascii="Arial" w:cs="Arial" w:eastAsia="Arial" w:hAnsi="Arial"/>
                <w:sz w:val="14"/>
                <w:szCs w:val="14"/>
                <w:color w:val="auto"/>
              </w:rPr>
              <w:t xml:space="preserve">Listed derivatives, average rate per contract </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27%</w:t>
            </w:r>
          </w:p>
        </w:tc>
      </w:tr>
      <w:tr>
        <w:trPr>
          <w:trHeight w:val="186"/>
        </w:trPr>
        <w:tc>
          <w:tcPr>
            <w:tcW w:w="4040" w:type="dxa"/>
            <w:vAlign w:val="bottom"/>
          </w:tcPr>
          <w:p>
            <w:pPr>
              <w:ind w:left="340"/>
              <w:spacing w:after="0"/>
              <w:rPr>
                <w:sz w:val="20"/>
                <w:szCs w:val="20"/>
                <w:color w:val="auto"/>
              </w:rPr>
            </w:pPr>
            <w:r>
              <w:rPr>
                <w:rFonts w:ascii="Arial" w:cs="Arial" w:eastAsia="Arial" w:hAnsi="Arial"/>
                <w:sz w:val="14"/>
                <w:szCs w:val="14"/>
                <w:color w:val="auto"/>
              </w:rPr>
              <w:t>Average client equity - listed derivatives (millions)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989</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62%</w:t>
            </w:r>
          </w:p>
        </w:tc>
      </w:tr>
      <w:tr>
        <w:trPr>
          <w:trHeight w:val="192"/>
        </w:trPr>
        <w:tc>
          <w:tcPr>
            <w:tcW w:w="4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Over-the-counter (“OTC”) derivatives (contracts, 000’s)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1,638</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r>
      <w:tr>
        <w:trPr>
          <w:trHeight w:val="182"/>
        </w:trPr>
        <w:tc>
          <w:tcPr>
            <w:tcW w:w="4040" w:type="dxa"/>
            <w:vAlign w:val="bottom"/>
          </w:tcPr>
          <w:p>
            <w:pPr>
              <w:ind w:left="340"/>
              <w:spacing w:after="0"/>
              <w:rPr>
                <w:sz w:val="20"/>
                <w:szCs w:val="20"/>
                <w:color w:val="auto"/>
              </w:rPr>
            </w:pPr>
            <w:r>
              <w:rPr>
                <w:rFonts w:ascii="Arial" w:cs="Arial" w:eastAsia="Arial" w:hAnsi="Arial"/>
                <w:sz w:val="14"/>
                <w:szCs w:val="14"/>
                <w:color w:val="auto"/>
              </w:rPr>
              <w:t>OTC derivatives, average rate per contract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64.17</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39.23</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24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57.27</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53.62</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7%</w:t>
            </w:r>
          </w:p>
        </w:tc>
      </w:tr>
    </w:tbl>
    <w:p>
      <w:pPr>
        <w:spacing w:after="0" w:line="87" w:lineRule="exact"/>
        <w:rPr>
          <w:sz w:val="20"/>
          <w:szCs w:val="20"/>
          <w:color w:val="auto"/>
        </w:rPr>
      </w:pPr>
    </w:p>
    <w:p>
      <w:pPr>
        <w:ind w:left="440" w:hanging="414"/>
        <w:spacing w:after="0"/>
        <w:tabs>
          <w:tab w:leader="none" w:pos="44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Give-up fees as well as cash and voice brokerage revenues are excluded from the calculation of listed derivatives, average rate per contract.</w:t>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Institutional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17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Sales of physical commodities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gains, net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215.3</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Commission and clearing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156.9</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21%</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management and account fees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(27)%</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23%</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96.8</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(32)%</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487.9</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Cost of sales of physical commodities</w:t>
            </w: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18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2%</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530.1</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487.9</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9%</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Transaction-based clearing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127.8</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10%</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Introducing broker commissions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67%</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18%</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63.8</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(58)%</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revenues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282.8</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Variable direct compensation and benefits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15%</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87.0</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47%</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contribution</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Fixed compensation and benefits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1%</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fixed expenses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Bad debts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(83)%</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(81)%</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Non-variable direct expenses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65.3</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r>
      <w:tr>
        <w:trPr>
          <w:trHeight w:val="179"/>
        </w:trPr>
        <w:tc>
          <w:tcPr>
            <w:tcW w:w="404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(14)%</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w:t>
            </w:r>
          </w:p>
        </w:tc>
      </w:tr>
      <w:tr>
        <w:trPr>
          <w:trHeight w:val="24"/>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7"/>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 (in millions):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00" w:type="dxa"/>
            <w:vAlign w:val="bottom"/>
          </w:tcPr>
          <w:p>
            <w:pPr>
              <w:ind w:left="240"/>
              <w:spacing w:after="0"/>
              <w:rPr>
                <w:sz w:val="20"/>
                <w:szCs w:val="20"/>
                <w:color w:val="auto"/>
              </w:rPr>
            </w:pPr>
            <w:r>
              <w:rPr>
                <w:rFonts w:ascii="Arial" w:cs="Arial" w:eastAsia="Arial" w:hAnsi="Arial"/>
                <w:sz w:val="14"/>
                <w:szCs w:val="14"/>
                <w:color w:val="auto"/>
              </w:rPr>
              <w:t>Listed derivatives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16%</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128.1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14%</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OTC derivatives</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(50)%</w:t>
            </w:r>
          </w:p>
        </w:tc>
        <w:tc>
          <w:tcPr>
            <w:tcW w:w="0" w:type="dxa"/>
            <w:vAlign w:val="bottom"/>
          </w:tcPr>
          <w:p>
            <w:pPr>
              <w:spacing w:after="0"/>
              <w:rPr>
                <w:sz w:val="1"/>
                <w:szCs w:val="1"/>
                <w:color w:val="auto"/>
              </w:rPr>
            </w:pPr>
          </w:p>
        </w:tc>
      </w:tr>
      <w:tr>
        <w:trPr>
          <w:trHeight w:val="186"/>
        </w:trPr>
        <w:tc>
          <w:tcPr>
            <w:tcW w:w="3900" w:type="dxa"/>
            <w:vAlign w:val="bottom"/>
          </w:tcPr>
          <w:p>
            <w:pPr>
              <w:ind w:left="240"/>
              <w:spacing w:after="0"/>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117.4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18%</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FX contracts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(33)%</w:t>
            </w:r>
          </w:p>
        </w:tc>
        <w:tc>
          <w:tcPr>
            <w:tcW w:w="0" w:type="dxa"/>
            <w:vAlign w:val="bottom"/>
          </w:tcPr>
          <w:p>
            <w:pPr>
              <w:spacing w:after="0"/>
              <w:rPr>
                <w:sz w:val="1"/>
                <w:szCs w:val="1"/>
                <w:color w:val="auto"/>
              </w:rPr>
            </w:pPr>
          </w:p>
        </w:tc>
      </w:tr>
      <w:tr>
        <w:trPr>
          <w:trHeight w:val="186"/>
        </w:trPr>
        <w:tc>
          <w:tcPr>
            <w:tcW w:w="3900" w:type="dxa"/>
            <w:vAlign w:val="bottom"/>
          </w:tcPr>
          <w:p>
            <w:pPr>
              <w:ind w:left="240"/>
              <w:spacing w:after="0"/>
              <w:rPr>
                <w:sz w:val="20"/>
                <w:szCs w:val="20"/>
                <w:color w:val="auto"/>
              </w:rPr>
            </w:pPr>
            <w:r>
              <w:rPr>
                <w:rFonts w:ascii="Arial" w:cs="Arial" w:eastAsia="Arial" w:hAnsi="Arial"/>
                <w:sz w:val="14"/>
                <w:szCs w:val="14"/>
                <w:color w:val="auto"/>
              </w:rPr>
              <w:t>Interest / fees earned on client balances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(69)%</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35%</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(13)%</w:t>
            </w: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169.8</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2%</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530.1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487.9</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140" w:type="dxa"/>
            <w:vAlign w:val="bottom"/>
            <w:gridSpan w:val="2"/>
          </w:tcPr>
          <w:p>
            <w:pPr>
              <w:jc w:val="right"/>
              <w:ind w:right="88"/>
              <w:spacing w:after="0"/>
              <w:rPr>
                <w:sz w:val="20"/>
                <w:szCs w:val="20"/>
                <w:color w:val="auto"/>
              </w:rPr>
            </w:pPr>
            <w:r>
              <w:rPr>
                <w:rFonts w:ascii="Arial" w:cs="Arial" w:eastAsia="Arial" w:hAnsi="Arial"/>
                <w:sz w:val="14"/>
                <w:szCs w:val="14"/>
                <w:color w:val="auto"/>
                <w:w w:val="93"/>
              </w:rPr>
              <w:t>Select data (all $ amounts are U.S. dollar or U.S. dollar equivalents):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Listed derivatives (contracts, 000’s)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30,954</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86,212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96,807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(11)%</w:t>
            </w:r>
          </w:p>
        </w:tc>
        <w:tc>
          <w:tcPr>
            <w:tcW w:w="0" w:type="dxa"/>
            <w:vAlign w:val="bottom"/>
          </w:tcPr>
          <w:p>
            <w:pPr>
              <w:spacing w:after="0"/>
              <w:rPr>
                <w:sz w:val="1"/>
                <w:szCs w:val="1"/>
                <w:color w:val="auto"/>
              </w:rPr>
            </w:pPr>
          </w:p>
        </w:tc>
      </w:tr>
      <w:tr>
        <w:trPr>
          <w:trHeight w:val="189"/>
        </w:trPr>
        <w:tc>
          <w:tcPr>
            <w:tcW w:w="390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Listed derivatives, average rate per contract </w:t>
            </w:r>
            <w:r>
              <w:rPr>
                <w:rFonts w:ascii="Arial" w:cs="Arial" w:eastAsia="Arial" w:hAnsi="Arial"/>
                <w:sz w:val="18"/>
                <w:szCs w:val="18"/>
                <w:color w:val="auto"/>
                <w:vertAlign w:val="superscript"/>
              </w:rPr>
              <w:t>(1)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29%</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Average client equity - listed derivatives (millions)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1,908</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34%</w:t>
            </w:r>
          </w:p>
        </w:tc>
        <w:tc>
          <w:tcPr>
            <w:tcW w:w="0" w:type="dxa"/>
            <w:vAlign w:val="bottom"/>
          </w:tcPr>
          <w:p>
            <w:pPr>
              <w:spacing w:after="0"/>
              <w:rPr>
                <w:sz w:val="1"/>
                <w:szCs w:val="1"/>
                <w:color w:val="auto"/>
              </w:rPr>
            </w:pPr>
          </w:p>
        </w:tc>
      </w:tr>
      <w:tr>
        <w:trPr>
          <w:trHeight w:val="186"/>
        </w:trPr>
        <w:tc>
          <w:tcPr>
            <w:tcW w:w="3900" w:type="dxa"/>
            <w:vAlign w:val="bottom"/>
          </w:tcPr>
          <w:p>
            <w:pPr>
              <w:ind w:left="220"/>
              <w:spacing w:after="0"/>
              <w:rPr>
                <w:sz w:val="20"/>
                <w:szCs w:val="20"/>
                <w:color w:val="auto"/>
              </w:rPr>
            </w:pPr>
            <w:r>
              <w:rPr>
                <w:rFonts w:ascii="Arial" w:cs="Arial" w:eastAsia="Arial" w:hAnsi="Arial"/>
                <w:sz w:val="14"/>
                <w:szCs w:val="14"/>
                <w:color w:val="auto"/>
              </w:rPr>
              <w:t>Securities ADV (millions)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2,901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1,765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1,746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54%</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Securities RPM </w:t>
            </w:r>
            <w:r>
              <w:rPr>
                <w:rFonts w:ascii="Arial" w:cs="Arial" w:eastAsia="Arial" w:hAnsi="Arial"/>
                <w:sz w:val="18"/>
                <w:szCs w:val="18"/>
                <w:color w:val="auto"/>
                <w:vertAlign w:val="superscript"/>
              </w:rPr>
              <w:t>(2)</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(23)%</w:t>
            </w:r>
          </w:p>
        </w:tc>
        <w:tc>
          <w:tcPr>
            <w:tcW w:w="0" w:type="dxa"/>
            <w:vAlign w:val="bottom"/>
          </w:tcPr>
          <w:p>
            <w:pPr>
              <w:spacing w:after="0"/>
              <w:rPr>
                <w:sz w:val="1"/>
                <w:szCs w:val="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4"/>
                <w:szCs w:val="14"/>
                <w:color w:val="auto"/>
              </w:rPr>
              <w:t>Average money market / FDIC sweep client balances</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1,611</w:t>
            </w:r>
          </w:p>
        </w:tc>
        <w:tc>
          <w:tcPr>
            <w:tcW w:w="10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1,261</w:t>
            </w:r>
          </w:p>
        </w:tc>
        <w:tc>
          <w:tcPr>
            <w:tcW w:w="8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2"/>
              </w:rPr>
              <w:t>28%</w:t>
            </w:r>
          </w:p>
        </w:tc>
        <w:tc>
          <w:tcPr>
            <w:tcW w:w="24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1,431</w:t>
            </w:r>
          </w:p>
        </w:tc>
        <w:tc>
          <w:tcPr>
            <w:tcW w:w="10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9"/>
              </w:rPr>
              <w:t>34%</w:t>
            </w:r>
          </w:p>
        </w:tc>
        <w:tc>
          <w:tcPr>
            <w:tcW w:w="0" w:type="dxa"/>
            <w:vAlign w:val="bottom"/>
          </w:tcPr>
          <w:p>
            <w:pPr>
              <w:spacing w:after="0"/>
              <w:rPr>
                <w:sz w:val="1"/>
                <w:szCs w:val="1"/>
                <w:color w:val="auto"/>
              </w:rPr>
            </w:pPr>
          </w:p>
        </w:tc>
      </w:tr>
      <w:tr>
        <w:trPr>
          <w:trHeight w:val="186"/>
        </w:trPr>
        <w:tc>
          <w:tcPr>
            <w:tcW w:w="3900" w:type="dxa"/>
            <w:vAlign w:val="bottom"/>
          </w:tcPr>
          <w:p>
            <w:pPr>
              <w:ind w:left="220"/>
              <w:spacing w:after="0"/>
              <w:rPr>
                <w:sz w:val="20"/>
                <w:szCs w:val="20"/>
                <w:color w:val="auto"/>
              </w:rPr>
            </w:pPr>
            <w:r>
              <w:rPr>
                <w:rFonts w:ascii="Arial" w:cs="Arial" w:eastAsia="Arial" w:hAnsi="Arial"/>
                <w:sz w:val="14"/>
                <w:szCs w:val="14"/>
                <w:color w:val="auto"/>
              </w:rPr>
              <w:t>(millions)</w:t>
            </w:r>
          </w:p>
        </w:tc>
        <w:tc>
          <w:tcPr>
            <w:tcW w:w="2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FX contracts ADV (millions)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9%</w:t>
            </w:r>
          </w:p>
        </w:tc>
        <w:tc>
          <w:tcPr>
            <w:tcW w:w="0" w:type="dxa"/>
            <w:vAlign w:val="bottom"/>
          </w:tcPr>
          <w:p>
            <w:pPr>
              <w:spacing w:after="0"/>
              <w:rPr>
                <w:sz w:val="1"/>
                <w:szCs w:val="1"/>
                <w:color w:val="auto"/>
              </w:rPr>
            </w:pPr>
          </w:p>
        </w:tc>
      </w:tr>
      <w:tr>
        <w:trPr>
          <w:trHeight w:val="182"/>
        </w:trPr>
        <w:tc>
          <w:tcPr>
            <w:tcW w:w="3900" w:type="dxa"/>
            <w:vAlign w:val="bottom"/>
          </w:tcPr>
          <w:p>
            <w:pPr>
              <w:ind w:left="220"/>
              <w:spacing w:after="0"/>
              <w:rPr>
                <w:sz w:val="20"/>
                <w:szCs w:val="20"/>
                <w:color w:val="auto"/>
              </w:rPr>
            </w:pPr>
            <w:r>
              <w:rPr>
                <w:rFonts w:ascii="Arial" w:cs="Arial" w:eastAsia="Arial" w:hAnsi="Arial"/>
                <w:sz w:val="14"/>
                <w:szCs w:val="14"/>
                <w:color w:val="auto"/>
              </w:rPr>
              <w:t>FX contracts RPM</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(52)%</w:t>
            </w:r>
          </w:p>
        </w:tc>
        <w:tc>
          <w:tcPr>
            <w:tcW w:w="24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(41)%</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40" w:hanging="414"/>
        <w:spacing w:after="0"/>
        <w:tabs>
          <w:tab w:leader="none" w:pos="44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Give-up fee revenues are excluded from the calculation of listed derivatives, average rate per contract.</w:t>
      </w:r>
    </w:p>
    <w:p>
      <w:pPr>
        <w:spacing w:after="0" w:line="16" w:lineRule="exact"/>
        <w:rPr>
          <w:rFonts w:ascii="Arial" w:cs="Arial" w:eastAsia="Arial" w:hAnsi="Arial"/>
          <w:sz w:val="19"/>
          <w:szCs w:val="19"/>
          <w:color w:val="auto"/>
          <w:vertAlign w:val="superscript"/>
        </w:rPr>
      </w:pPr>
    </w:p>
    <w:p>
      <w:pPr>
        <w:ind w:left="440" w:hanging="414"/>
        <w:spacing w:after="0" w:line="189" w:lineRule="auto"/>
        <w:tabs>
          <w:tab w:leader="none" w:pos="44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Interest income related to securities lending is excluded from the calculation of Securities RPM.</w:t>
      </w:r>
    </w:p>
    <w:p>
      <w:pPr>
        <w:sectPr>
          <w:pgSz w:w="11900" w:h="16838" w:orient="portrait"/>
          <w:cols w:equalWidth="0" w:num="1">
            <w:col w:w="11240"/>
          </w:cols>
          <w:pgMar w:left="320" w:top="99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Retail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7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Sales of physical commodities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470.0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683%</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994.3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209.3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375%</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gains, net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4"/>
              </w:rPr>
              <w:t>n/m</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n/m</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Commission and clearing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29%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20%</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management and account fees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32%</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200%</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300%</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584%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271.9</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355%</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Cost of sales of physical commodities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713%</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975.3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200.4</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387%</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266%</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Transaction-based clearing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1,000%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920%</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Introducing broker commissions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48.2</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49%</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n/m</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n/m</w:t>
            </w:r>
          </w:p>
        </w:tc>
      </w:tr>
      <w:tr>
        <w:trPr>
          <w:trHeight w:val="18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revenues</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585%</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692%</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Variable direct compensation and benefits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700%</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958%</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contribution</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576%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676%</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Fixed compensation and benefits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1,290%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1,200%</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fixed expenses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1,493%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1,679%</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Bad debts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n/m</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n/m</w:t>
            </w:r>
          </w:p>
        </w:tc>
      </w:tr>
      <w:tr>
        <w:trPr>
          <w:trHeight w:val="18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Non-variable direct expenses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1,396%</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100.1</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1,464%</w:t>
            </w:r>
          </w:p>
        </w:tc>
      </w:tr>
      <w:tr>
        <w:trPr>
          <w:trHeight w:val="179"/>
        </w:trPr>
        <w:tc>
          <w:tcPr>
            <w:tcW w:w="404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58%</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308%</w:t>
            </w:r>
          </w:p>
        </w:tc>
      </w:tr>
      <w:tr>
        <w:trPr>
          <w:trHeight w:val="24"/>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7"/>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260" w:type="dxa"/>
            <w:vAlign w:val="bottom"/>
            <w:gridSpan w:val="6"/>
          </w:tcPr>
          <w:p>
            <w:pPr>
              <w:ind w:left="62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17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 (in millions):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3880" w:type="dxa"/>
            <w:vAlign w:val="bottom"/>
          </w:tcPr>
          <w:p>
            <w:pPr>
              <w:ind w:left="240"/>
              <w:spacing w:after="0"/>
              <w:rPr>
                <w:sz w:val="20"/>
                <w:szCs w:val="20"/>
                <w:color w:val="auto"/>
              </w:rPr>
            </w:pPr>
            <w:r>
              <w:rPr>
                <w:rFonts w:ascii="Arial" w:cs="Arial" w:eastAsia="Arial" w:hAnsi="Arial"/>
                <w:sz w:val="14"/>
                <w:szCs w:val="14"/>
                <w:color w:val="auto"/>
              </w:rPr>
              <w:t>Securities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17%</w:t>
            </w:r>
          </w:p>
        </w:tc>
      </w:tr>
      <w:tr>
        <w:trPr>
          <w:trHeight w:val="192"/>
        </w:trPr>
        <w:tc>
          <w:tcPr>
            <w:tcW w:w="3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FX / CFD contracts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4"/>
              </w:rPr>
              <w:t>n/m</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86"/>
        </w:trPr>
        <w:tc>
          <w:tcPr>
            <w:tcW w:w="3880" w:type="dxa"/>
            <w:vAlign w:val="bottom"/>
          </w:tcPr>
          <w:p>
            <w:pPr>
              <w:ind w:left="240"/>
              <w:spacing w:after="0"/>
              <w:rPr>
                <w:sz w:val="20"/>
                <w:szCs w:val="20"/>
                <w:color w:val="auto"/>
              </w:rPr>
            </w:pPr>
            <w:r>
              <w:rPr>
                <w:rFonts w:ascii="Arial" w:cs="Arial" w:eastAsia="Arial" w:hAnsi="Arial"/>
                <w:sz w:val="14"/>
                <w:szCs w:val="14"/>
                <w:color w:val="auto"/>
              </w:rPr>
              <w:t>Physical contracts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57%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42%</w:t>
            </w:r>
          </w:p>
        </w:tc>
      </w:tr>
      <w:tr>
        <w:trPr>
          <w:trHeight w:val="192"/>
        </w:trPr>
        <w:tc>
          <w:tcPr>
            <w:tcW w:w="3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 fees earned on client balances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8"/>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(36)%</w:t>
            </w:r>
          </w:p>
        </w:tc>
      </w:tr>
      <w:tr>
        <w:trPr>
          <w:trHeight w:val="186"/>
        </w:trPr>
        <w:tc>
          <w:tcPr>
            <w:tcW w:w="3880" w:type="dxa"/>
            <w:vAlign w:val="bottom"/>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08"/>
        </w:trPr>
        <w:tc>
          <w:tcPr>
            <w:tcW w:w="3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252%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266%</w:t>
            </w:r>
          </w:p>
        </w:tc>
      </w:tr>
      <w:tr>
        <w:trPr>
          <w:trHeight w:val="20"/>
        </w:trPr>
        <w:tc>
          <w:tcPr>
            <w:tcW w:w="41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66"/>
        </w:trPr>
        <w:tc>
          <w:tcPr>
            <w:tcW w:w="38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18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Select data (all $ amounts are U.S. dollar or U.S. dollar equivalents):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3880" w:type="dxa"/>
            <w:vAlign w:val="bottom"/>
          </w:tcPr>
          <w:p>
            <w:pPr>
              <w:ind w:left="240"/>
              <w:spacing w:after="0" w:line="189" w:lineRule="exact"/>
              <w:rPr>
                <w:sz w:val="20"/>
                <w:szCs w:val="20"/>
                <w:color w:val="auto"/>
              </w:rPr>
            </w:pPr>
            <w:r>
              <w:rPr>
                <w:rFonts w:ascii="Arial" w:cs="Arial" w:eastAsia="Arial" w:hAnsi="Arial"/>
                <w:sz w:val="14"/>
                <w:szCs w:val="14"/>
                <w:color w:val="auto"/>
              </w:rPr>
              <w:t xml:space="preserve">FX / CFD contracts ADV (millions) </w:t>
            </w:r>
            <w:r>
              <w:rPr>
                <w:rFonts w:ascii="Arial" w:cs="Arial" w:eastAsia="Arial" w:hAnsi="Arial"/>
                <w:sz w:val="18"/>
                <w:szCs w:val="18"/>
                <w:color w:val="auto"/>
                <w:vertAlign w:val="superscript"/>
              </w:rPr>
              <w:t>(1)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8,238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n/m</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9,013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189"/>
        </w:trPr>
        <w:tc>
          <w:tcPr>
            <w:tcW w:w="3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FX / CFD contracts RPM</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4"/>
              </w:rPr>
              <w:t>n/m</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bl>
    <w:p>
      <w:pPr>
        <w:spacing w:after="0" w:line="80" w:lineRule="exact"/>
        <w:rPr>
          <w:sz w:val="20"/>
          <w:szCs w:val="20"/>
          <w:color w:val="auto"/>
        </w:rPr>
      </w:pPr>
    </w:p>
    <w:p>
      <w:pPr>
        <w:ind w:left="440" w:hanging="414"/>
        <w:spacing w:after="0"/>
        <w:tabs>
          <w:tab w:leader="none" w:pos="4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The ADV for the three and nine months ended June 30, 2021 includes the ADV of Gain, which was acquired effective August 1, 2020.</w:t>
      </w:r>
    </w:p>
    <w:p>
      <w:pPr>
        <w:sectPr>
          <w:pgSz w:w="11900" w:h="16838" w:orient="portrait"/>
          <w:cols w:equalWidth="0" w:num="1">
            <w:col w:w="11240"/>
          </w:cols>
          <w:pgMar w:left="320" w:top="99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Global Payments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7"/>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20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7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Sales of physical commodities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gains, net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Commission and clearing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31%</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management, account fees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18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Cost of sales of physical commodities</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18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26%</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Introducing broker commissions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(100)%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18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revenues</w:t>
            </w: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27%</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r>
      <w:tr>
        <w:trPr>
          <w:trHeight w:val="18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Variable compensation and benefits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29%</w:t>
            </w:r>
          </w:p>
        </w:tc>
        <w:tc>
          <w:tcPr>
            <w:tcW w:w="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contribution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Fixed compensation and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23%</w:t>
            </w:r>
          </w:p>
        </w:tc>
      </w:tr>
      <w:tr>
        <w:trPr>
          <w:trHeight w:val="19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fixed expenses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r>
      <w:tr>
        <w:trPr>
          <w:trHeight w:val="186"/>
        </w:trPr>
        <w:tc>
          <w:tcPr>
            <w:tcW w:w="4040" w:type="dxa"/>
            <w:vAlign w:val="bottom"/>
          </w:tcPr>
          <w:p>
            <w:pPr>
              <w:ind w:left="360"/>
              <w:spacing w:after="0"/>
              <w:rPr>
                <w:sz w:val="20"/>
                <w:szCs w:val="20"/>
                <w:color w:val="auto"/>
              </w:rPr>
            </w:pPr>
            <w:r>
              <w:rPr>
                <w:rFonts w:ascii="Arial" w:cs="Arial" w:eastAsia="Arial" w:hAnsi="Arial"/>
                <w:sz w:val="14"/>
                <w:szCs w:val="14"/>
                <w:color w:val="auto"/>
              </w:rPr>
              <w:t>Bad debts</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18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non-variable direct expenses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24%</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19%</w:t>
            </w:r>
          </w:p>
        </w:tc>
      </w:tr>
      <w:tr>
        <w:trPr>
          <w:trHeight w:val="179"/>
        </w:trPr>
        <w:tc>
          <w:tcPr>
            <w:tcW w:w="404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28%</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r>
      <w:tr>
        <w:trPr>
          <w:trHeight w:val="24"/>
        </w:trPr>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2"/>
              </w:rPr>
              <w:t>Three Months Ended 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 (in millions):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3900" w:type="dxa"/>
            <w:vAlign w:val="bottom"/>
          </w:tcPr>
          <w:p>
            <w:pPr>
              <w:ind w:left="360"/>
              <w:spacing w:after="0"/>
              <w:rPr>
                <w:sz w:val="20"/>
                <w:szCs w:val="20"/>
                <w:color w:val="auto"/>
              </w:rPr>
            </w:pPr>
            <w:r>
              <w:rPr>
                <w:rFonts w:ascii="Arial" w:cs="Arial" w:eastAsia="Arial" w:hAnsi="Arial"/>
                <w:sz w:val="14"/>
                <w:szCs w:val="14"/>
                <w:color w:val="auto"/>
              </w:rPr>
              <w:t>Payments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right="148"/>
              <w:spacing w:after="0"/>
              <w:rPr>
                <w:sz w:val="20"/>
                <w:szCs w:val="20"/>
                <w:color w:val="auto"/>
              </w:rPr>
            </w:pPr>
            <w:r>
              <w:rPr>
                <w:rFonts w:ascii="Arial" w:cs="Arial" w:eastAsia="Arial" w:hAnsi="Arial"/>
                <w:sz w:val="14"/>
                <w:szCs w:val="14"/>
                <w:color w:val="auto"/>
                <w:w w:val="92"/>
              </w:rPr>
              <w:t>27%</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86.2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17%</w:t>
            </w:r>
          </w:p>
        </w:tc>
      </w:tr>
      <w:tr>
        <w:trPr>
          <w:trHeight w:val="189"/>
        </w:trPr>
        <w:tc>
          <w:tcPr>
            <w:tcW w:w="3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148"/>
              <w:spacing w:after="0"/>
              <w:rPr>
                <w:sz w:val="20"/>
                <w:szCs w:val="20"/>
                <w:color w:val="auto"/>
              </w:rPr>
            </w:pPr>
            <w:r>
              <w:rPr>
                <w:rFonts w:ascii="Arial" w:cs="Arial" w:eastAsia="Arial" w:hAnsi="Arial"/>
                <w:sz w:val="14"/>
                <w:szCs w:val="14"/>
                <w:color w:val="auto"/>
                <w:w w:val="92"/>
              </w:rPr>
              <w:t>50%</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r>
      <w:tr>
        <w:trPr>
          <w:trHeight w:val="182"/>
        </w:trPr>
        <w:tc>
          <w:tcPr>
            <w:tcW w:w="39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2"/>
              </w:rPr>
              <w:t>28%</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17%</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3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4140" w:type="dxa"/>
            <w:vAlign w:val="bottom"/>
            <w:gridSpan w:val="2"/>
          </w:tcPr>
          <w:p>
            <w:pPr>
              <w:jc w:val="right"/>
              <w:ind w:right="88"/>
              <w:spacing w:after="0"/>
              <w:rPr>
                <w:sz w:val="20"/>
                <w:szCs w:val="20"/>
                <w:color w:val="auto"/>
              </w:rPr>
            </w:pPr>
            <w:r>
              <w:rPr>
                <w:rFonts w:ascii="Arial" w:cs="Arial" w:eastAsia="Arial" w:hAnsi="Arial"/>
                <w:sz w:val="14"/>
                <w:szCs w:val="14"/>
                <w:color w:val="auto"/>
                <w:w w:val="93"/>
              </w:rPr>
              <w:t>Select data (all $ amounts are U.S. dollar or U.S. dollar equivalents):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3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Global Payments ADV (millions)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right="148"/>
              <w:spacing w:after="0"/>
              <w:rPr>
                <w:sz w:val="20"/>
                <w:szCs w:val="20"/>
                <w:color w:val="auto"/>
              </w:rPr>
            </w:pPr>
            <w:r>
              <w:rPr>
                <w:rFonts w:ascii="Arial" w:cs="Arial" w:eastAsia="Arial" w:hAnsi="Arial"/>
                <w:sz w:val="14"/>
                <w:szCs w:val="14"/>
                <w:color w:val="auto"/>
                <w:w w:val="92"/>
              </w:rPr>
              <w:t>38%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r>
      <w:tr>
        <w:trPr>
          <w:trHeight w:val="182"/>
        </w:trPr>
        <w:tc>
          <w:tcPr>
            <w:tcW w:w="3900" w:type="dxa"/>
            <w:vAlign w:val="bottom"/>
          </w:tcPr>
          <w:p>
            <w:pPr>
              <w:ind w:left="360"/>
              <w:spacing w:after="0"/>
              <w:rPr>
                <w:sz w:val="20"/>
                <w:szCs w:val="20"/>
                <w:color w:val="auto"/>
              </w:rPr>
            </w:pPr>
            <w:r>
              <w:rPr>
                <w:rFonts w:ascii="Arial" w:cs="Arial" w:eastAsia="Arial" w:hAnsi="Arial"/>
                <w:sz w:val="14"/>
                <w:szCs w:val="14"/>
                <w:color w:val="auto"/>
              </w:rPr>
              <w:t>Global Payments RPM</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9,786</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10,650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4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10,041</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9,957</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8"/>
              </w:rPr>
              <w:t>1%</w:t>
            </w:r>
          </w:p>
        </w:tc>
      </w:tr>
    </w:tbl>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Unallocated Costs and Expenses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provides information regarding our unallocated costs and expenses. These unallocated costs and expenses include certain shared services such as information technology, accounting and treasury, credit and risk, legal and compliance, and human resources and other activities, which are not included in the results of the operating segments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60" w:type="dxa"/>
            <w:vAlign w:val="bottom"/>
            <w:gridSpan w:val="8"/>
          </w:tcPr>
          <w:p>
            <w:pPr>
              <w:jc w:val="right"/>
              <w:ind w:right="1300"/>
              <w:spacing w:after="0"/>
              <w:rPr>
                <w:sz w:val="20"/>
                <w:szCs w:val="20"/>
                <w:color w:val="auto"/>
              </w:rPr>
            </w:pPr>
            <w:r>
              <w:rPr>
                <w:rFonts w:ascii="Arial" w:cs="Arial" w:eastAsia="Arial" w:hAnsi="Arial"/>
                <w:sz w:val="14"/>
                <w:szCs w:val="14"/>
                <w:b w:val="1"/>
                <w:bCs w:val="1"/>
                <w:color w:val="auto"/>
              </w:rPr>
              <w:t>Three Months Ended June 30,</w:t>
            </w:r>
          </w:p>
        </w:tc>
        <w:tc>
          <w:tcPr>
            <w:tcW w:w="33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r>
      <w:tr>
        <w:trPr>
          <w:trHeight w:val="197"/>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Variable compensation and benefits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compensation and benefits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09"/>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Occupancy and equipment rental</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Non-trading technology and support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Communications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and marketing</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Trading systems and market information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Travel and business development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3"/>
        </w:trPr>
        <w:tc>
          <w:tcPr>
            <w:tcW w:w="3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Total compensation and other expenses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7"/>
                <w:szCs w:val="17"/>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29 %   $</w:t>
            </w:r>
          </w:p>
        </w:tc>
        <w:tc>
          <w:tcPr>
            <w:tcW w:w="82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166.4</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3"/>
        </w:trPr>
        <w:tc>
          <w:tcPr>
            <w:tcW w:w="39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Total unallocated costs and other expenses increased $16.5 million to $73.7 million in the three months ended June 30, 2021 compared to $57.2 million in the three months ended June 30, 2020. Compensation and benefits increased $11.2 million, or 38%, to $40.7 million in the three months ended June 30, 2021 compared to $29.5 million in the three months ended June 30, 2020, principally due to the Gain acquisition in the fourth quarter of fiscal 2020. Fixed compensation and benefits during the three months ended June 30, 2021 include severance costs of $3.2 million, principally due to the departure of certain senior officers. During the three months ended June 30, 2020, severance costs were $0.7 million.</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Administrative headcount increased 26% compared to June 2020, principally due to incremental employees as a result of acquisitions. The headcount increases span across all administrative departments, most notably IT, accounting and compliance. Other non-compensation expenses increased $5.3 million, or 19%, to $33.0 million in the three months ended June 30, 2021 compared to $27.7 million in the three months ended June 30, 2020 principally due to the increase in occupancy and equipment rental related to additional leased office space.</w:t>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Balance Sheet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provides a summary of asset, liability, and stockholders’ equity information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(Unaudited) (in millions, except for share and per share amounts)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September 30, 2020</w:t>
            </w:r>
          </w:p>
        </w:tc>
      </w:tr>
      <w:tr>
        <w:trPr>
          <w:trHeight w:val="175"/>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Summary asset information:</w:t>
            </w:r>
          </w:p>
        </w:tc>
        <w:tc>
          <w:tcPr>
            <w:tcW w:w="2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1,075.6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952.6</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securities and other assets segregated under federal and other regulations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1,920.2</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Securities purchased under agreements to resell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2,027.2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1,696.2</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 borrowed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1,440.0</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Deposits with and receivables from broker-dealers, clearing organizations and counterparties,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4,617.7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3,629.9</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Receivables from clients, net and notes receivable,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413.1</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Financial instruments owned, at fair value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3,467.2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2,727.7</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Physical commodities inventory,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62.1</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right of use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Goodwill and intangible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109.5</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r>
      <w:tr>
        <w:trPr>
          <w:trHeight w:val="216"/>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Summary liability and stockholders’ equity information:</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302.7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272.6</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Payables to clients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7,177.7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5,689.0</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Payables to broker-dealers, clearing organizations and counterparties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Payables to lenders under loans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273.7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268.1</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Senior secured borrowings,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 sold under agreements to repurchase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3,155.5</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Securities loaned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1,700.3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1,441.9</w:t>
            </w:r>
          </w:p>
        </w:tc>
      </w:tr>
      <w:tr>
        <w:trPr>
          <w:trHeight w:val="192"/>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Financial instruments sold, not yet purchased, at fair value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686.0</w:t>
            </w:r>
          </w:p>
        </w:tc>
      </w:tr>
      <w:tr>
        <w:trPr>
          <w:trHeight w:val="186"/>
        </w:trPr>
        <w:tc>
          <w:tcPr>
            <w:tcW w:w="7940" w:type="dxa"/>
            <w:vAlign w:val="bottom"/>
          </w:tcPr>
          <w:p>
            <w:pPr>
              <w:ind w:left="22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901.4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767.5</w:t>
            </w:r>
          </w:p>
        </w:tc>
      </w:tr>
      <w:tr>
        <w:trPr>
          <w:trHeight w:val="111"/>
        </w:trPr>
        <w:tc>
          <w:tcPr>
            <w:tcW w:w="79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r>
      <w:tr>
        <w:trPr>
          <w:trHeight w:val="186"/>
        </w:trPr>
        <w:tc>
          <w:tcPr>
            <w:tcW w:w="7940" w:type="dxa"/>
            <w:vAlign w:val="bottom"/>
          </w:tcPr>
          <w:p>
            <w:pPr>
              <w:ind w:left="20"/>
              <w:spacing w:after="0"/>
              <w:rPr>
                <w:sz w:val="20"/>
                <w:szCs w:val="20"/>
                <w:color w:val="auto"/>
              </w:rPr>
            </w:pPr>
            <w:r>
              <w:rPr>
                <w:rFonts w:ascii="Arial" w:cs="Arial" w:eastAsia="Arial" w:hAnsi="Arial"/>
                <w:sz w:val="14"/>
                <w:szCs w:val="14"/>
                <w:color w:val="auto"/>
              </w:rPr>
              <w:t>Common stock outstanding - shares</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19,859,899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19,376,594</w:t>
            </w:r>
          </w:p>
        </w:tc>
      </w:tr>
      <w:tr>
        <w:trPr>
          <w:trHeight w:val="19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asset value per share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w:t>
            </w:r>
          </w:p>
        </w:tc>
      </w:tr>
    </w:tbl>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Conference Call &amp; Web Cast</w:t>
      </w:r>
    </w:p>
    <w:p>
      <w:pPr>
        <w:spacing w:after="0" w:line="121"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 xml:space="preserve">A conference call to discuss the Company’s financial results will be held tomorrow, Tuesday, August 10, 2021 at 9:00 a.m. Eastern time. The call may also include discussion of Company developments, and forward-looking and other material information about business and financial matters. A live webcast of the conference call as well as additional information to review during the call will be made available in PDF form on-line on the Company’s corporate web site at </w:t>
      </w:r>
      <w:r>
        <w:rPr>
          <w:rFonts w:ascii="Arial" w:cs="Arial" w:eastAsia="Arial" w:hAnsi="Arial"/>
          <w:sz w:val="18"/>
          <w:szCs w:val="18"/>
          <w:u w:val="single" w:color="auto"/>
          <w:color w:val="auto"/>
        </w:rPr>
        <w:t>https://www.stonex.com</w:t>
      </w:r>
      <w:r>
        <w:rPr>
          <w:rFonts w:ascii="Arial" w:cs="Arial" w:eastAsia="Arial" w:hAnsi="Arial"/>
          <w:sz w:val="18"/>
          <w:szCs w:val="18"/>
          <w:color w:val="auto"/>
        </w:rPr>
        <w:t>. Participants can also access the call by dialing 1-844-466-4112 (within the United States and Canada), or 1-408-337-0136 (international callers) approximately ten minutes prior to the start time.</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A replay of the call will be available at </w:t>
      </w:r>
      <w:r>
        <w:rPr>
          <w:rFonts w:ascii="Arial" w:cs="Arial" w:eastAsia="Arial" w:hAnsi="Arial"/>
          <w:sz w:val="18"/>
          <w:szCs w:val="18"/>
          <w:u w:val="single" w:color="auto"/>
          <w:color w:val="auto"/>
        </w:rPr>
        <w:t>https://www.stonex.com</w:t>
      </w:r>
      <w:r>
        <w:rPr>
          <w:rFonts w:ascii="Arial" w:cs="Arial" w:eastAsia="Arial" w:hAnsi="Arial"/>
          <w:sz w:val="18"/>
          <w:szCs w:val="18"/>
          <w:color w:val="auto"/>
        </w:rPr>
        <w:t xml:space="preserve"> approximately two hours after the call has ended and will be available through August 17, 2021. To access the replay, dial 1-855-859-2056 (within the United States and Canada), or 1-404-537-3406 (international callers) and enter the replay passcode 2192607.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StoneX Group Inc.</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StoneX Group Inc. (formerly INTL FCStone Inc.), through its subsidiaries, operates a global financial services network that connects companies, organizations, traders and investors to the global market ecosystem through a unique blend of digital platforms, end-to-end clearing and execution services, high touch service and deep expertise. The Company strives to be the one trusted partner to its clients, providing its network, product and services to allow them to pursue trading opportunities, manage their market risks, make investments and improve their business performance. A Fortune-500 company headquartered in New York City and listed on the Nasdaq Global Select Market (NASDAQ:SNEX), StoneX Group Inc. and its over 3,000 employees serve more than 35,000 commercial and institutional clients, and more than 340,000 active retail accounts, from more than 40 offices spread across five continents. Further information on the Company is available at www.stonex.com.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press release includes forward-looking statements within the meaning of Section 27A of the Securities Act of 1933, as amended, and Section 21E of the Securities Exchange Act of 1934, as amended, such as those pertaining to the uncertain financial impact of COVID-19 and the company’s financial condition, results of operations, business strategy and financial needs. All statements other than statements of current or historical fact contained in this press release are forward-looking statements. The words “believe,” “expect,” “anticipate,” “should,” “plan,” “will,” “may,” “could,” “intend,” “estimate,” “predict,” “potential,” “continue” or the negative of these terms and similar expressions, as they relate to StoneX Group Inc., are intended to identify forward-looking statements.</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forward-looking statements are largely based on current expectations and projections about future events and financial trends that may affect the financial condition, results of operations, business strategy and financial needs of the company. They can be affected by inaccurate assumptions, including the risks, uncertainties and assumptions described in the filings made by StoneX Group Inc. with the Securities and Exchange Commission, including those risks set forth under the heading “Risk Factors” in the company’s most recent Annual Report on Form 10-K and, to the extent applicable, subsequent Quarterly Reports on Form 10-Q. In light of these risks, uncertainties and assumptions, the forward-looking statements in this press release may not occur and actual results could differ materially from those anticipated or implied in the forward-looking statements. When you consider these forward-looking statements, you should keep in mind these risk factors and other cautionary statements in this press release.</w:t>
      </w:r>
    </w:p>
    <w:p>
      <w:pPr>
        <w:spacing w:after="0" w:line="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forward-looking statements speak only as of the date of this press release. StoneX Group Inc. undertakes no obligation to update or revise any forward-looking statements, whether as a result of new information, future events or otherwise, except as required by law. Accordingly, readers are cautioned not to place undue reliance on these forward-looking statements. For these statements, we claim the protection of the safe harbor for forward-looking statements contained in the Private Securities Litigation Reform Act of 1995.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StoneX Group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Investor inquiries: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Kevin Murphy</w:t>
      </w:r>
    </w:p>
    <w:p>
      <w:pPr>
        <w:spacing w:after="0" w:line="23" w:lineRule="exact"/>
        <w:rPr>
          <w:sz w:val="20"/>
          <w:szCs w:val="20"/>
          <w:color w:val="auto"/>
        </w:rPr>
      </w:pPr>
    </w:p>
    <w:p>
      <w:pPr>
        <w:ind w:right="9220" w:firstLine="8"/>
        <w:spacing w:after="0" w:line="323"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403 - 7296 </w:t>
      </w:r>
      <w:r>
        <w:rPr>
          <w:rFonts w:ascii="Arial" w:cs="Arial" w:eastAsia="Arial" w:hAnsi="Arial"/>
          <w:sz w:val="16"/>
          <w:szCs w:val="16"/>
          <w:u w:val="single" w:color="auto"/>
          <w:color w:val="auto"/>
        </w:rPr>
        <w:t>kevin.murphy@stonex.com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SNEX-G</w:t>
      </w:r>
    </w:p>
    <w:sectPr>
      <w:pgSz w:w="11900" w:h="16838" w:orient="portrait"/>
      <w:cols w:equalWidth="0" w:num="1">
        <w:col w:w="11220"/>
      </w:cols>
      <w:pgMar w:left="320" w:top="12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2021-08-09T16:25:06Z</dcterms:created>
  <dcterms:modified xsi:type="dcterms:W3CDTF">2021-08-09T16:25:06Z</dcterms:modified>
</cp:coreProperties>
</file>