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345440</wp:posOffset>
            </wp:positionH>
            <wp:positionV relativeFrom="page">
              <wp:posOffset>791845</wp:posOffset>
            </wp:positionV>
            <wp:extent cx="6866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817880</wp:posOffset>
            </wp:positionV>
            <wp:extent cx="6866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8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5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CURRENT REPORT</w:t>
      </w:r>
    </w:p>
    <w:p>
      <w:pPr>
        <w:spacing w:after="0" w:line="11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8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Date of Report (Date of earliest event reported): December 16, 2020</w:t>
      </w:r>
    </w:p>
    <w:p>
      <w:pPr>
        <w:spacing w:after="0" w:line="92"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StoneX Group Inc.</w:t>
      </w:r>
    </w:p>
    <w:p>
      <w:pPr>
        <w:spacing w:after="0" w:line="11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080"/>
          </w:cols>
          <w:pgMar w:left="320" w:top="1440" w:right="499" w:bottom="1440" w:gutter="0" w:footer="0" w:header="0"/>
        </w:sectPr>
      </w:pPr>
    </w:p>
    <w:p>
      <w:pPr>
        <w:spacing w:after="0" w:line="374"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000-23554</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59-2921318</w:t>
      </w:r>
    </w:p>
    <w:p>
      <w:pPr>
        <w:spacing w:after="0" w:line="50" w:lineRule="exact"/>
        <w:rPr>
          <w:sz w:val="24"/>
          <w:szCs w:val="24"/>
          <w:color w:val="auto"/>
        </w:rPr>
      </w:pPr>
    </w:p>
    <w:p>
      <w:pPr>
        <w:sectPr>
          <w:pgSz w:w="11900" w:h="16838" w:orient="portrait"/>
          <w:cols w:equalWidth="0" w:num="3">
            <w:col w:w="4600" w:space="720"/>
            <w:col w:w="2640" w:space="720"/>
            <w:col w:w="2400"/>
          </w:cols>
          <w:pgMar w:left="320" w:top="1440" w:right="499" w:bottom="1440" w:gutter="0" w:footer="0" w:header="0"/>
          <w:type w:val="continuous"/>
        </w:sectPr>
      </w:pPr>
    </w:p>
    <w:p>
      <w:pPr>
        <w:ind w:left="1400"/>
        <w:spacing w:after="0"/>
        <w:rPr>
          <w:sz w:val="20"/>
          <w:szCs w:val="20"/>
          <w:color w:val="auto"/>
        </w:rPr>
      </w:pPr>
      <w:r>
        <w:rPr>
          <w:rFonts w:ascii="Arial" w:cs="Arial" w:eastAsia="Arial" w:hAnsi="Arial"/>
          <w:sz w:val="15"/>
          <w:szCs w:val="15"/>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 No.)</w:t>
      </w:r>
    </w:p>
    <w:p>
      <w:pPr>
        <w:spacing w:after="0" w:line="174" w:lineRule="exact"/>
        <w:rPr>
          <w:sz w:val="24"/>
          <w:szCs w:val="24"/>
          <w:color w:val="auto"/>
        </w:rPr>
      </w:pPr>
    </w:p>
    <w:p>
      <w:pPr>
        <w:sectPr>
          <w:pgSz w:w="11900" w:h="16838" w:orient="portrait"/>
          <w:cols w:equalWidth="0" w:num="3">
            <w:col w:w="4060" w:space="720"/>
            <w:col w:w="2820" w:space="720"/>
            <w:col w:w="2760"/>
          </w:cols>
          <w:pgMar w:left="320" w:top="1440" w:right="499" w:bottom="1440" w:gutter="0" w:footer="0" w:header="0"/>
          <w:type w:val="continuous"/>
        </w:sectPr>
      </w:pPr>
    </w:p>
    <w:p>
      <w:pPr>
        <w:ind w:left="4460"/>
        <w:spacing w:after="0"/>
        <w:rPr>
          <w:sz w:val="20"/>
          <w:szCs w:val="20"/>
          <w:color w:val="auto"/>
        </w:rPr>
      </w:pPr>
      <w:r>
        <w:rPr>
          <w:rFonts w:ascii="Arial" w:cs="Arial" w:eastAsia="Arial" w:hAnsi="Arial"/>
          <w:sz w:val="18"/>
          <w:szCs w:val="18"/>
          <w:b w:val="1"/>
          <w:bCs w:val="1"/>
          <w:color w:val="auto"/>
        </w:rPr>
        <w:t>155 East 44th Street, Suite 900</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New York, NY 10017</w:t>
      </w:r>
    </w:p>
    <w:p>
      <w:pPr>
        <w:spacing w:after="0" w:line="7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w:t>
      </w:r>
      <w:r>
        <w:rPr>
          <w:rFonts w:ascii="Arial" w:cs="Arial" w:eastAsia="Arial" w:hAnsi="Arial"/>
          <w:sz w:val="18"/>
          <w:szCs w:val="18"/>
          <w:color w:val="auto"/>
        </w:rPr>
        <w:t>)</w:t>
      </w:r>
      <w:r>
        <w:rPr>
          <w:rFonts w:ascii="Arial" w:cs="Arial" w:eastAsia="Arial" w:hAnsi="Arial"/>
          <w:sz w:val="18"/>
          <w:szCs w:val="18"/>
          <w:b w:val="1"/>
          <w:bCs w:val="1"/>
          <w:color w:val="auto"/>
        </w:rPr>
        <w:t xml:space="preserve"> 485-3500</w:t>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68"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080"/>
          </w:cols>
          <w:pgMar w:left="320" w:top="1440" w:right="499" w:bottom="1440" w:gutter="0" w:footer="0" w:header="0"/>
          <w:type w:val="continuous"/>
        </w:sectPr>
      </w:pPr>
    </w:p>
    <w:p>
      <w:pPr>
        <w:spacing w:after="0" w:line="81" w:lineRule="exact"/>
        <w:rPr>
          <w:sz w:val="24"/>
          <w:szCs w:val="24"/>
          <w:color w:val="auto"/>
        </w:rPr>
      </w:pPr>
    </w:p>
    <w:p>
      <w:pPr>
        <w:jc w:val="center"/>
        <w:ind w:left="500" w:right="1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05"/>
        </w:trPr>
        <w:tc>
          <w:tcPr>
            <w:tcW w:w="4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Title of Each Class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SNEX</w:t>
            </w:r>
          </w:p>
        </w:tc>
        <w:tc>
          <w:tcPr>
            <w:tcW w:w="10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3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965835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037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037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098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December 16, 2020, the Board of Directors of StoneX Group Inc. (the "Company") authorized the repurchase of up to 1.0 million shares of its outstanding common stock from time to time in open market purchases and private transactions, commencing on December 23, 2020 and ending on September 30, 2021, subject to the discretion of the senior management team to implement the Company's stock repurchase plan, and subject to market conditions and as permitted by securities laws and other legal, regulatory and contractual requirements and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606425</wp:posOffset>
            </wp:positionV>
            <wp:extent cx="70980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1"/>
              </w:rPr>
              <w:t>StoneX Group Inc.</w:t>
            </w:r>
          </w:p>
        </w:tc>
      </w:tr>
      <w:tr>
        <w:trPr>
          <w:trHeight w:val="225"/>
        </w:trPr>
        <w:tc>
          <w:tcPr>
            <w:tcW w:w="4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234"/>
        </w:trPr>
        <w:tc>
          <w:tcPr>
            <w:tcW w:w="5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December 22, 2020</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6"/>
              </w:rPr>
              <w:t>/s/ DAVID A. BOLTE</w:t>
            </w:r>
          </w:p>
        </w:tc>
      </w:tr>
      <w:tr>
        <w:trPr>
          <w:trHeight w:val="222"/>
        </w:trPr>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c>
          <w:tcPr>
            <w:tcW w:w="96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David A. Bolte</w:t>
            </w:r>
          </w:p>
        </w:tc>
      </w:tr>
      <w:tr>
        <w:trPr>
          <w:trHeight w:val="230"/>
        </w:trPr>
        <w:tc>
          <w:tcPr>
            <w:tcW w:w="4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88"/>
              </w:rPr>
              <w:t>Corporate Secretary</w:t>
            </w:r>
          </w:p>
        </w:tc>
      </w:tr>
    </w:tbl>
    <w:p>
      <w:pPr>
        <w:spacing w:after="0" w:line="1" w:lineRule="exact"/>
        <w:rPr>
          <w:sz w:val="20"/>
          <w:szCs w:val="20"/>
          <w:color w:val="auto"/>
        </w:rPr>
      </w:pP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2020-12-22T15:51:38Z</dcterms:created>
  <dcterms:modified xsi:type="dcterms:W3CDTF">2020-12-22T15:51:38Z</dcterms:modified>
</cp:coreProperties>
</file>