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15" w:lineRule="exact"/>
        <w:rPr>
          <w:sz w:val="24"/>
          <w:szCs w:val="24"/>
          <w:color w:val="auto"/>
        </w:rPr>
      </w:pPr>
    </w:p>
    <w:p>
      <w:pPr>
        <w:jc w:val="center"/>
        <w:ind w:left="2140" w:right="1980"/>
        <w:spacing w:after="0" w:line="327" w:lineRule="auto"/>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 Date of Report (Date of earliest event reported): August 5, 2025</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StoneX Group Inc.</w:t>
      </w:r>
    </w:p>
    <w:p>
      <w:pPr>
        <w:spacing w:after="0" w:line="1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8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000-23554</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59-2921318</w:t>
      </w:r>
    </w:p>
    <w:p>
      <w:pPr>
        <w:spacing w:after="0" w:line="42"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 No.)</w:t>
      </w:r>
    </w:p>
    <w:p>
      <w:pPr>
        <w:spacing w:after="0" w:line="158"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230 Park Ave, 10th Floor</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New York, NY 10169</w:t>
      </w:r>
    </w:p>
    <w:p>
      <w:pPr>
        <w:spacing w:after="0" w:line="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485-3500</w:t>
      </w:r>
    </w:p>
    <w:p>
      <w:pPr>
        <w:spacing w:after="0" w:line="1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8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03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377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August 5, 2025, the StoneX Group Inc. (the “Company”) issued a press release on the subject of the Company's results of operations and financial condition for the fiscal quarter ended June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attached hereto as Exhibit 99.1 and incorporated by reference herein.</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August 5, 2025.</w:t>
      </w:r>
    </w:p>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259715</wp:posOffset>
            </wp:positionH>
            <wp:positionV relativeFrom="page">
              <wp:posOffset>782955</wp:posOffset>
            </wp:positionV>
            <wp:extent cx="70377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
                    </a:xfrm>
                    <a:prstGeom prst="rect">
                      <a:avLst/>
                    </a:prstGeom>
                    <a:noFill/>
                  </pic:spPr>
                </pic:pic>
              </a:graphicData>
            </a:graphic>
          </wp:anchor>
        </w:drawing>
        <w:t>Signature</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tc>
      </w:tr>
      <w:tr>
        <w:trPr>
          <w:trHeight w:val="225"/>
        </w:trPr>
        <w:tc>
          <w:tcPr>
            <w:tcW w:w="4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238"/>
        </w:trPr>
        <w:tc>
          <w:tcPr>
            <w:tcW w:w="53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August 5, 2025</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 WILLIAM J. DUNAWAY</w:t>
            </w:r>
          </w:p>
        </w:tc>
      </w:tr>
      <w:tr>
        <w:trPr>
          <w:trHeight w:val="218"/>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60" w:type="dxa"/>
            <w:vAlign w:val="bottom"/>
          </w:tcPr>
          <w:p>
            <w:pPr>
              <w:spacing w:after="0"/>
              <w:rPr>
                <w:sz w:val="18"/>
                <w:szCs w:val="18"/>
                <w:color w:val="auto"/>
              </w:rPr>
            </w:pPr>
          </w:p>
        </w:tc>
        <w:tc>
          <w:tcPr>
            <w:tcW w:w="4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William J. Dunaway</w:t>
            </w:r>
          </w:p>
        </w:tc>
      </w:tr>
      <w:tr>
        <w:trPr>
          <w:trHeight w:val="234"/>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000"/>
          </w:cols>
          <w:pgMar w:left="320" w:top="1413" w:right="579" w:bottom="1440" w:gutter="0" w:footer="0" w:header="0"/>
        </w:sectPr>
      </w:pPr>
    </w:p>
    <w:bookmarkStart w:id="3" w:name="page4"/>
    <w:bookmarkEnd w:id="3"/>
    <w:p>
      <w:pPr>
        <w:ind w:left="10160"/>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45732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34290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StoneX Group Inc. Reports Fiscal 2025 Third Quarter Financial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Quarterly Net Operating Revenues of $488.3 million, up 4%</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Quarterly Net Income of $63.4 million, Quarterly ROE of 13.1%, YTD ROE of 15.9%</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Quarterly Diluted EPS of $1.22 per share</w:t>
      </w:r>
    </w:p>
    <w:p>
      <w:pPr>
        <w:spacing w:after="0" w:line="200" w:lineRule="exact"/>
        <w:rPr>
          <w:sz w:val="20"/>
          <w:szCs w:val="20"/>
          <w:color w:val="auto"/>
        </w:rPr>
      </w:pPr>
    </w:p>
    <w:p>
      <w:pPr>
        <w:spacing w:after="0" w:line="29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 August 5, 2025 </w:t>
      </w:r>
      <w:r>
        <w:rPr>
          <w:rFonts w:ascii="Times New Roman" w:cs="Times New Roman" w:eastAsia="Times New Roman" w:hAnsi="Times New Roman"/>
          <w:sz w:val="18"/>
          <w:szCs w:val="18"/>
          <w:color w:val="auto"/>
        </w:rPr>
        <w:t>– StoneX Group Inc. (the “Company”; NASDAQ: SNEX), a global financial services network that connects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traders and investors to the global market ecosystem through a unique blend of digital platforms, end-to-end clearing and execution services, high touch service and deep expertise, today announced its financial results for the fiscal year 2025 third quarter ended June 30, 2025.</w:t>
      </w:r>
    </w:p>
    <w:p>
      <w:pPr>
        <w:spacing w:after="0" w:line="67"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Sean O’Connor, the Company’s Executive Vice-Chairman of the Board, stated, “The diversity of our business model was on display in our third quarter results, as significant growth in our Institutional segment net operating revenues, most notably in equity markets, combined with a strong performance in our Self-Directed/Retail segment, more than offset declines in our Commercial businesses due to diminished commodity volatility and tariff related uncertainty. This resulted in modest growth in net income versus the prior year despite $8.9 million in acquisition-related charges in the current quarter, including $6.5 million in bridge loan financing charges and $2.4 million in professional fees, which combined equated to a reduction of approximately $0.12 in diluted EPS for the quarter.</w:t>
      </w:r>
    </w:p>
    <w:p>
      <w:pPr>
        <w:spacing w:after="0" w:line="12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were excited to announce the closing of the acquisitions of R.J. O’Brien and The Benchmark Company, LLC on July 31, 2025. R.J. O’Brien, the oldest futures brokerage in the U.S., brings an attractive financial profile, having generated approximately $766 million in revenue and approximately $170 million in EBITDA during calendar 2024 and we believe positions us as a market leader in global derivatives. The Benchmark Company, LLC, enhances our capital markets offering, adding a full-service investment banking firm with a robust sales and trading platform, award-winning equity research, and a highly experienced investment banking team, while further expanding our client base.</w:t>
      </w:r>
    </w:p>
    <w:p>
      <w:pPr>
        <w:spacing w:after="0" w:line="1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the ability to offer our expansive range of products to this newly acquired client base, as well as offering these expanded capabilities to our existing clients, positions us well to continue to drive results for our shareholders in the future.”</w:t>
      </w:r>
    </w:p>
    <w:p>
      <w:pPr>
        <w:sectPr>
          <w:pgSz w:w="11900" w:h="16838" w:orient="portrait"/>
          <w:cols w:equalWidth="0" w:num="1">
            <w:col w:w="11240"/>
          </w:cols>
          <w:pgMar w:left="320" w:top="89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StoneX Group Inc. Summary Financials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Condensed consolidated financial statements for the Company will be included in our Quarterly Report on Form 10-Q to be filed with the Securities and Exchange Commission (the “SEC”). Upon filing, the Quarterly Report on Form 10-Q will also be made available on the Company’s website at www.stonex.com.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w w:val="98"/>
              </w:rPr>
              <w:t>Three Months Ended June 30,</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(Unaudited) (in millions, except share and per share amounts)</w:t>
            </w:r>
          </w:p>
        </w:tc>
        <w:tc>
          <w:tcPr>
            <w:tcW w:w="180" w:type="dxa"/>
            <w:vAlign w:val="bottom"/>
          </w:tcPr>
          <w:p>
            <w:pPr>
              <w:spacing w:after="0"/>
              <w:rPr>
                <w:sz w:val="15"/>
                <w:szCs w:val="15"/>
                <w:color w:val="auto"/>
              </w:rPr>
            </w:pPr>
          </w:p>
        </w:tc>
        <w:tc>
          <w:tcPr>
            <w:tcW w:w="100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00" w:type="dxa"/>
            <w:vAlign w:val="bottom"/>
          </w:tcPr>
          <w:p>
            <w:pPr>
              <w:spacing w:after="0"/>
              <w:rPr>
                <w:sz w:val="15"/>
                <w:szCs w:val="15"/>
                <w:color w:val="auto"/>
              </w:rPr>
            </w:pPr>
          </w:p>
        </w:tc>
        <w:tc>
          <w:tcPr>
            <w:tcW w:w="1060" w:type="dxa"/>
            <w:vAlign w:val="bottom"/>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8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33,839.9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26,196.2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96,883.6</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66,339.0</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943.4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881.2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442.7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1,209.9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995.7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34,828.8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27,069.7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99,654.8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68,748.8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33,804.5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26,156.0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96,730.2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66,232.7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2,924.6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2,516.1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994.1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792.2</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1,467.7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1,312.4</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other expenses: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fees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and marketing</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Communications</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(recoveries), net</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18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1,065.1</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(loss) gains, net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299.6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220.2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w:t>
            </w: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r>
              <w:rPr>
                <w:rFonts w:ascii="Times New Roman" w:cs="Times New Roman" w:eastAsia="Times New Roman" w:hAnsi="Times New Roman"/>
                <w:sz w:val="9"/>
                <w:szCs w:val="9"/>
                <w:color w:val="auto"/>
              </w:rPr>
              <w:t>(1)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47,115,819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45,964,905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46,773,656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45,673,929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rPr>
              <w:t>49,952,164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47,614,548</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49,302,730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47,231,055</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equity (“ROE”)</w:t>
            </w:r>
            <w:r>
              <w:rPr>
                <w:rFonts w:ascii="Times New Roman" w:cs="Times New Roman" w:eastAsia="Times New Roman" w:hAnsi="Times New Roman"/>
                <w:sz w:val="9"/>
                <w:szCs w:val="9"/>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ROE on tangible book value</w:t>
            </w: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 to present as a percentage</w:t>
      </w:r>
    </w:p>
    <w:p>
      <w:pPr>
        <w:spacing w:after="0" w:line="165" w:lineRule="exact"/>
        <w:rPr>
          <w:sz w:val="20"/>
          <w:szCs w:val="20"/>
          <w:color w:val="auto"/>
        </w:rPr>
      </w:pPr>
    </w:p>
    <w:p>
      <w:pPr>
        <w:ind w:left="440" w:right="400" w:hanging="414"/>
        <w:spacing w:after="0" w:line="251" w:lineRule="auto"/>
        <w:tabs>
          <w:tab w:leader="none" w:pos="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21, 2025, the Company effected a three-for-two stock dividend to stockholders of record as of March 11, 2025. The stock split increased the number of shares of common stock outstanding. All share and per share amounts have been retroactively adjusted for the stock split.</w:t>
      </w:r>
    </w:p>
    <w:p>
      <w:pPr>
        <w:ind w:left="440" w:right="440" w:hanging="414"/>
        <w:spacing w:after="0" w:line="261" w:lineRule="auto"/>
        <w:tabs>
          <w:tab w:leader="none" w:pos="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calculates ROE on stated book value based on net income divided by average stockholders’ equity. For the calculation of ROE on tangible book value, the amount of goodwill and intangibles, net is excluded from stockholders’ equity.</w:t>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following table presents our consolidated operating revenues by segment for the periods indicated.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0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revenues represented by: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Institutional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Self-Directed/Retail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(18)%</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consolidated income by segment for the periods indicated.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04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income represented by: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Institutional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Self-Directed/Retail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0" w:type="dxa"/>
            <w:vAlign w:val="bottom"/>
          </w:tcPr>
          <w:p>
            <w:pPr>
              <w:spacing w:after="0"/>
              <w:rPr>
                <w:sz w:val="1"/>
                <w:szCs w:val="1"/>
                <w:color w:val="auto"/>
              </w:rPr>
            </w:pPr>
          </w:p>
        </w:tc>
      </w:tr>
      <w:tr>
        <w:trPr>
          <w:trHeight w:val="20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income</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segment income to income before tax:</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Net operating loss within Corporate </w:t>
            </w:r>
            <w:r>
              <w:rPr>
                <w:rFonts w:ascii="Times New Roman" w:cs="Times New Roman" w:eastAsia="Times New Roman" w:hAnsi="Times New Roman"/>
                <w:sz w:val="9"/>
                <w:szCs w:val="9"/>
                <w:color w:val="auto"/>
              </w:rPr>
              <w:t>(1)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tcPr>
          <w:p>
            <w:pPr>
              <w:spacing w:after="0"/>
              <w:rPr>
                <w:sz w:val="17"/>
                <w:szCs w:val="17"/>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Overhead costs and expenses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8"/>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w w:val="97"/>
              </w:rPr>
              <w:t>(1)</w:t>
            </w:r>
          </w:p>
        </w:tc>
        <w:tc>
          <w:tcPr>
            <w:tcW w:w="41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Includes interest expense on corporate funding.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20" w:type="dxa"/>
            <w:vAlign w:val="bottom"/>
            <w:vMerge w:val="continue"/>
          </w:tcPr>
          <w:p>
            <w:pPr>
              <w:spacing w:after="0"/>
              <w:rPr>
                <w:sz w:val="23"/>
                <w:szCs w:val="23"/>
                <w:color w:val="auto"/>
              </w:rPr>
            </w:pPr>
          </w:p>
        </w:tc>
        <w:tc>
          <w:tcPr>
            <w:tcW w:w="412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Operating Metrics</w:t>
      </w:r>
    </w:p>
    <w:p>
      <w:pPr>
        <w:spacing w:after="0" w:line="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tables below present operating revenues disaggregated across the key products we provide to our clients and select operating data and metrics used by management in evaluating our performance, for the periods indicated.</w:t>
      </w: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1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0"/>
        </w:trPr>
        <w:tc>
          <w:tcPr>
            <w:tcW w:w="43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Over-the-counter (“OTC”) derivatives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FX/Contracts for difference (“CFD”) contracts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69"/>
        </w:trPr>
        <w:tc>
          <w:tcPr>
            <w:tcW w:w="434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1,024.3</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52,736</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157,299</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Listed derivatives, average rate per contract (“RPC”)</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OTC derivatives, average RPC</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average daily volume (“ADV”) (millions)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203"/>
        </w:trPr>
        <w:tc>
          <w:tcPr>
            <w:tcW w:w="43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Securities rate per million (“RPM”) </w:t>
            </w:r>
            <w:r>
              <w:rPr>
                <w:rFonts w:ascii="Times New Roman" w:cs="Times New Roman" w:eastAsia="Times New Roman" w:hAnsi="Times New Roman"/>
                <w:sz w:val="18"/>
                <w:szCs w:val="18"/>
                <w:color w:val="auto"/>
                <w:vertAlign w:val="superscript"/>
              </w:rPr>
              <w:t>(2)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r>
      <w:tr>
        <w:trPr>
          <w:trHeight w:val="20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money market/FDIC sweep client balances (millions)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195"/>
        </w:trPr>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ADV (millions)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RPM</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r>
    </w:tbl>
    <w:p>
      <w:pPr>
        <w:spacing w:after="0" w:line="144" w:lineRule="exact"/>
        <w:rPr>
          <w:sz w:val="20"/>
          <w:szCs w:val="20"/>
          <w:color w:val="auto"/>
        </w:rPr>
      </w:pPr>
    </w:p>
    <w:p>
      <w:pPr>
        <w:ind w:left="440" w:hanging="41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Give-up fee revenues, related to contract execution for clients of other FCMs, as well as cash and voice brokerage revenues are excluded from the calculation of listed derivatives, average rate per contract.</w:t>
      </w:r>
    </w:p>
    <w:p>
      <w:pPr>
        <w:spacing w:after="0" w:line="41" w:lineRule="exact"/>
        <w:rPr>
          <w:rFonts w:ascii="Times New Roman" w:cs="Times New Roman" w:eastAsia="Times New Roman" w:hAnsi="Times New Roman"/>
          <w:sz w:val="14"/>
          <w:szCs w:val="14"/>
          <w:color w:val="auto"/>
        </w:rPr>
      </w:pPr>
    </w:p>
    <w:p>
      <w:pPr>
        <w:ind w:left="440" w:hanging="414"/>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Interest expense associated with our fixed income activities is deducted from operating revenues in the calculation of Securities RPM while interest income related to securities lending is excluded.</w:t>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180" w:type="dxa"/>
            <w:vAlign w:val="bottom"/>
            <w:gridSpan w:val="6"/>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95"/>
        </w:trPr>
        <w:tc>
          <w:tcPr>
            <w:tcW w:w="4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5"/>
        </w:trPr>
        <w:tc>
          <w:tcPr>
            <w:tcW w:w="422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Short-term financing facilities of subsidiaries and other direct</w:t>
            </w: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interest of operating segments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845.7</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attributable to fixed income securities and securities borrowing was principally due to the growth in the size of the security repo and securities lending businesses.</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interest expense attributable to corporate funding included $6.5 million of bridge loan financing fees related to the amendment of our revolving credit facility and the issuance of the Senior Secured Notes due 2032, which closed on July 8, 2025, both of which were done in conjunction with the acquisition of R.J. O’Brien, which closed on July 31, 2025.</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interest expense attributable to corporate funding included incremental interest from our March 1, 2024 issuance of the Senior Secured Notes due 2031. While funds from the issuance of the Senior Secured Notes due 2031 were used to redeem the Senior Secured Notes due 2025, the redemption did not occur until June 17, 2024, in order to allow us to redeem those notes at par. At the redemption of the Senior Secured Notes due 2025, we also recognized a $3.7 million loss on the extinguishment of debt related to the write-off of unamortized original issue discount and deferred financing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Operating Revenues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presents a disaggregation of consolidated net operating revenues used by management in evaluating our performance,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Revenues (in millions):</w:t>
            </w: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net / fees earned on client balances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Variable vs. Fixed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variable expenses and non-variable expenses as a percentage of total non-interest expenses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9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variable expenses</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836.6</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744.2</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9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expenses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non-variable expenses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1"/>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1,585.2</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(Loss) Gains, net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results of the three months ended June 30, 2025 included a $2.3 million loss on the disposal of certain capitalized hardware expenditures, partially offset by a gain of $1.0 million resulting from proceeds received from a class action settlement.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through four operating segments, including Commercial, Institutional, Self-Directed/Retail and Payments.</w:t>
      </w:r>
    </w:p>
    <w:p>
      <w:pPr>
        <w:spacing w:after="0" w:line="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select operating data and metrics, and a disaggregation of net operating revenue used by management in evaluating the performance of our segments, for the periods indicated. Additional information on the performance of our segments will be included in our Quarterly Report on Form 10-Q to be filed with the SEC.</w:t>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33,828.7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26,186.1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96,817.9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66,305.6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26,410.3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97,389.8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66,867.4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26,148.1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96,683.1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66,206.3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111%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114%</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OTC derivatives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w:t>
            </w:r>
          </w:p>
        </w:tc>
      </w:tr>
      <w:tr>
        <w:trPr>
          <w:trHeight w:val="195"/>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4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4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5"/>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10,547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Listed derivatives, average RPC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188"/>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OTC derivatives, average RPC</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58.06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69.03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r>
    </w:tbl>
    <w:p>
      <w:pPr>
        <w:spacing w:after="0" w:line="127" w:lineRule="exact"/>
        <w:rPr>
          <w:sz w:val="20"/>
          <w:szCs w:val="20"/>
          <w:color w:val="auto"/>
        </w:rPr>
      </w:pPr>
    </w:p>
    <w:p>
      <w:pPr>
        <w:ind w:left="440" w:right="540" w:hanging="414"/>
        <w:spacing w:after="0" w:line="241" w:lineRule="auto"/>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RPC.</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1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Listed derivatives</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OTC derivatives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w:t>
            </w: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Physical contracts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21"/>
        </w:trPr>
        <w:tc>
          <w:tcPr>
            <w:tcW w:w="4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220.5</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836.3</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1,408.0</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148.6</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9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 net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1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w:t>
            </w:r>
          </w:p>
        </w:tc>
      </w:tr>
      <w:tr>
        <w:trPr>
          <w:trHeight w:val="221"/>
        </w:trPr>
        <w:tc>
          <w:tcPr>
            <w:tcW w:w="4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4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5"/>
        </w:trPr>
        <w:tc>
          <w:tcPr>
            <w:tcW w:w="4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135,969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127,595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Listed derivatives, average RPC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r>
      <w:tr>
        <w:trPr>
          <w:trHeight w:val="195"/>
        </w:trPr>
        <w:tc>
          <w:tcPr>
            <w:tcW w:w="4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ADV (millions)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203"/>
        </w:trPr>
        <w:tc>
          <w:tcPr>
            <w:tcW w:w="41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Securities RPM </w:t>
            </w:r>
            <w:r>
              <w:rPr>
                <w:rFonts w:ascii="Times New Roman" w:cs="Times New Roman" w:eastAsia="Times New Roman" w:hAnsi="Times New Roman"/>
                <w:sz w:val="18"/>
                <w:szCs w:val="18"/>
                <w:color w:val="auto"/>
                <w:vertAlign w:val="superscript"/>
              </w:rPr>
              <w:t>(2)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money market/FDIC sweep client balances (millions)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 ADV (millions)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contracts RPM</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r>
    </w:tbl>
    <w:p>
      <w:pPr>
        <w:spacing w:after="0" w:line="103" w:lineRule="exact"/>
        <w:rPr>
          <w:sz w:val="20"/>
          <w:szCs w:val="20"/>
          <w:color w:val="auto"/>
        </w:rPr>
      </w:pPr>
    </w:p>
    <w:p>
      <w:pPr>
        <w:ind w:left="440" w:hanging="414"/>
        <w:spacing w:after="0"/>
        <w:tabs>
          <w:tab w:leader="none" w:pos="4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Give-up fees, related to contract execution for clients of other FCMs, are excluded from the calculation of listed derivatives, average RPC.</w:t>
      </w:r>
    </w:p>
    <w:p>
      <w:pPr>
        <w:spacing w:after="0" w:line="26" w:lineRule="exact"/>
        <w:rPr>
          <w:rFonts w:ascii="Times New Roman" w:cs="Times New Roman" w:eastAsia="Times New Roman" w:hAnsi="Times New Roman"/>
          <w:sz w:val="13"/>
          <w:szCs w:val="13"/>
          <w:color w:val="auto"/>
        </w:rPr>
      </w:pPr>
    </w:p>
    <w:p>
      <w:pPr>
        <w:ind w:left="440" w:hanging="414"/>
        <w:spacing w:after="0"/>
        <w:tabs>
          <w:tab w:leader="none" w:pos="4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associated with our fixed income activities is deducted from operating revenues in the calculation of Securities RPM, while interest income related to securities lending is excluded.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1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Listed derivatives</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r>
      <w:tr>
        <w:trPr>
          <w:trHeight w:val="195"/>
        </w:trPr>
        <w:tc>
          <w:tcPr>
            <w:tcW w:w="4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r>
      <w:tr>
        <w:trPr>
          <w:trHeight w:val="221"/>
        </w:trPr>
        <w:tc>
          <w:tcPr>
            <w:tcW w:w="4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157.7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565.1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9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Self-Directed/Retail</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150%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gains</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144%</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FX/CFD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4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Physical contracts</w:t>
            </w:r>
          </w:p>
        </w:tc>
        <w:tc>
          <w:tcPr>
            <w:tcW w:w="7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4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56%</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114.2</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5"/>
        </w:trPr>
        <w:tc>
          <w:tcPr>
            <w:tcW w:w="4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9,277</w:t>
            </w:r>
          </w:p>
        </w:tc>
        <w:tc>
          <w:tcPr>
            <w:tcW w:w="10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6,904</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10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FX/CFD contracts RPM</w:t>
            </w: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(11)%</w:t>
            </w:r>
          </w:p>
        </w:tc>
      </w:tr>
    </w:tbl>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0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FX/CFD contracts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Physical contracts</w:t>
            </w: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44%</w:t>
            </w:r>
          </w:p>
        </w:tc>
      </w:tr>
      <w:tr>
        <w:trPr>
          <w:trHeight w:val="21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56%</w:t>
            </w:r>
          </w:p>
        </w:tc>
      </w:tr>
      <w:tr>
        <w:trPr>
          <w:trHeight w:val="221"/>
        </w:trPr>
        <w:tc>
          <w:tcPr>
            <w:tcW w:w="4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account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95"/>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40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4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ADV (millions)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188"/>
        </w:trPr>
        <w:tc>
          <w:tcPr>
            <w:tcW w:w="4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RPM</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11,264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r>
    </w:tbl>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2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149.8</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4020" w:type="dxa"/>
            <w:vAlign w:val="bottom"/>
          </w:tcPr>
          <w:p>
            <w:pPr>
              <w:spacing w:after="0"/>
              <w:rPr>
                <w:sz w:val="17"/>
                <w:szCs w:val="17"/>
                <w:color w:val="auto"/>
              </w:rPr>
            </w:pP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Overhead Costs and Expenses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incur overhead costs and expenses, including certain shared services such as information technology, accounting and treasury, credit and risk, legal and compliance, and human resources and other activities. The following table provides information regarding overhead costs and expenses.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2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and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and expense, net of allocation to operating segments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below provides a summary of asset, liability and stockholders’ equity information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millions, except for share and per share amounts)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asset information:</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2,841.2</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8,159.3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5,201.5</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7,283.2</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Receivables from clients, net and notes receivable, net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1,013.1</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6,767.1</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commodities inventory, net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liability and stockholders’ equity information:</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Payables to clients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10,345.9</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Payables to broker-dealers, clearing organizations and counterparties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734.2</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Payables to lenders under loans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8,581.3</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loaned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2,853.3</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1,709.1</w:t>
            </w:r>
          </w:p>
        </w:tc>
      </w:tr>
      <w:tr>
        <w:trPr>
          <w:trHeight w:val="108"/>
        </w:trPr>
        <w:tc>
          <w:tcPr>
            <w:tcW w:w="7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outstanding - shares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49,029,208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47,811,539</w:t>
            </w:r>
          </w:p>
        </w:tc>
      </w:tr>
      <w:tr>
        <w:trPr>
          <w:trHeight w:val="188"/>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per share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r>
    </w:tbl>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Conference Call &amp; Web Cast</w:t>
      </w:r>
    </w:p>
    <w:p>
      <w:pPr>
        <w:spacing w:after="0" w:line="9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A conference call to discuss the Company’s financial results will be held tomorrow, Wednesday, August 6, 2025 at 9:00 a.m. Eastern time. The call may also include discussion of Company developments, and forward-looking and other material information about business and financial matters. A live webcast of the conference call as well as additional information to review during the call will be made available in PDF form on-line on the Company’s corporate web site at https://register-conf.media-server.com/register/BI844176c186b3462a83744b4b3946a567 approximately ten minutes prior to the start time. Participants may preregister for the conference call here.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who cannot access the live broadcast, a replay of the call will be available at https://www.stonex.com.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StoneX Group Inc.</w:t>
      </w:r>
    </w:p>
    <w:p>
      <w:pPr>
        <w:spacing w:after="0" w:line="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A Fortune-500 company headquartered in New York City and listed on the Nasdaq Global Select Market (NASDAQ:SNEX), StoneX Group Inc. and its more than 4,700 employees serve more than 54,000 commercial, institutional, and payments clients, and more than 400,000 retail accounts, from more than 80 offices spread across six continents. Further information on the Company is available at www.stonex.com.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such as those pertaining to the Company’s financial condition, results of operations, business strategy, financial needs of the Company, the anticipated timing of the Company’s acquisition of R.J. O’Brien and the impact of the transaction. All statements other than statements of current or historical fact contained in this press release are forward-looking statements. The words “believe,” “expect,” “anticipate,” “should,” “plan,” “will,” “may,” “could,” “intend,” “estimate,” “predict,” “potential,” “continue” or the negative of these terms and similar expressions, as they relate to StoneX Group Inc., are intended to identify forward-looking statements.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current expectations and projections about future events and financial trends that may affect the financial condition, results of operations, business strategy and financial needs of the Company. These forward-looking statements involve known and unknown risks and uncertainties, many of which are beyond the control of the Company, including statements about the benefits of our acquisition of RJO, including expected synergies and future financial and operating results, the plans, objectives, expectations and intentions of StoneX after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2024.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press release. StoneX Group Inc. undertakes no obligation to update or revise any forward-looking statements, whether as a result of new information, future events or otherwise, except as required by law. Accordingly, readers are cautioned not to place undue reliance on these forward-looking statements. For these statements, we claim the protection of the safe harbor for forward-looking statements contained in the Private Securities Litigation Reform Act of 1995.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inquiries: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Murphy</w:t>
      </w:r>
    </w:p>
    <w:p>
      <w:pPr>
        <w:spacing w:after="0" w:line="27" w:lineRule="exact"/>
        <w:rPr>
          <w:sz w:val="20"/>
          <w:szCs w:val="20"/>
          <w:color w:val="auto"/>
        </w:rPr>
      </w:pPr>
    </w:p>
    <w:p>
      <w:pPr>
        <w:ind w:right="922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403 - 7296 </w:t>
      </w:r>
      <w:r>
        <w:rPr>
          <w:rFonts w:ascii="Times New Roman" w:cs="Times New Roman" w:eastAsia="Times New Roman" w:hAnsi="Times New Roman"/>
          <w:sz w:val="18"/>
          <w:szCs w:val="18"/>
          <w:u w:val="single" w:color="auto"/>
          <w:color w:val="auto"/>
        </w:rPr>
        <w:t>kevin.murphy@stonex.com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SNEX-G</w:t>
      </w:r>
    </w:p>
    <w:sectPr>
      <w:pgSz w:w="11900" w:h="16838" w:orient="portrait"/>
      <w:cols w:equalWidth="0" w:num="1">
        <w:col w:w="11220"/>
      </w:cols>
      <w:pgMar w:left="320" w:top="119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2025-08-05T15:39:42Z</dcterms:created>
  <dcterms:modified xsi:type="dcterms:W3CDTF">2025-08-05T15:39:42Z</dcterms:modified>
</cp:coreProperties>
</file>