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4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December 31, 2025 </w:t>
      </w:r>
    </w:p>
    <w:p>
      <w:pPr>
        <w:pStyle w:val="TextBody"/>
        <w:bidi w:val="0"/>
        <w:spacing w:lineRule="auto" w:line="288" w:before="0" w:after="0"/>
        <w:jc w:val="center"/>
        <w:rPr/>
      </w:pPr>
      <w:r>
        <w:rPr>
          <w:rFonts w:ascii="Times New Roman;serif" w:hAnsi="Times New Roman;serif"/>
          <w:b/>
          <w:color w:val="000000"/>
          <w:sz w:val="20"/>
        </w:rPr>
        <w:t>OR</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000-23554 </w:t>
      </w:r>
    </w:p>
    <w:p>
      <w:pPr>
        <w:pStyle w:val="TextBody"/>
        <w:bidi w:val="0"/>
        <w:spacing w:before="0" w:after="0"/>
        <w:jc w:val="center"/>
        <w:rPr/>
      </w:pPr>
      <w:r>
        <w:rPr/>
        <w:drawing>
          <wp:inline distT="0" distB="0" distL="0" distR="0">
            <wp:extent cx="1304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04925" cy="5429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181" w:type="dxa"/>
        <w:jc w:val="center"/>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59-2921318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0" w:after="0"/>
        <w:jc w:val="center"/>
        <w:rPr/>
      </w:pPr>
      <w:r>
        <w:rPr>
          <w:rFonts w:ascii="Times New Roman;serif" w:hAnsi="Times New Roman;serif"/>
          <w:b/>
          <w:color w:val="000000"/>
          <w:sz w:val="20"/>
        </w:rPr>
        <w:t>230 Park Ave, 10th Floor</w:t>
      </w: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New York, NY 10169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(212) 485-3500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left"/>
        <w:tblInd w:w="0" w:type="dxa"/>
        <w:tblLayout w:type="fixed"/>
        <w:tblCellMar>
          <w:top w:w="28" w:type="dxa"/>
          <w:left w:w="28" w:type="dxa"/>
          <w:bottom w:w="28" w:type="dxa"/>
          <w:right w:w="28" w:type="dxa"/>
        </w:tblCellMar>
      </w:tblPr>
      <w:tblGrid>
        <w:gridCol w:w="990"/>
        <w:gridCol w:w="865"/>
        <w:gridCol w:w="875"/>
        <w:gridCol w:w="109"/>
        <w:gridCol w:w="109"/>
        <w:gridCol w:w="109"/>
        <w:gridCol w:w="499"/>
        <w:gridCol w:w="499"/>
        <w:gridCol w:w="501"/>
        <w:gridCol w:w="109"/>
        <w:gridCol w:w="109"/>
        <w:gridCol w:w="109"/>
        <w:gridCol w:w="1118"/>
        <w:gridCol w:w="1118"/>
        <w:gridCol w:w="1589"/>
      </w:tblGrid>
      <w:tr>
        <w:trPr/>
        <w:tc>
          <w:tcPr>
            <w:tcW w:w="99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 “smaller reporting company,” and “emerging growth company” in Rule 12b-2 of the Exchange Act.</w:t>
      </w:r>
    </w:p>
    <w:tbl>
      <w:tblPr>
        <w:tblW w:w="4732"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5"/>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No </w:t>
      </w:r>
      <w:r>
        <w:rPr>
          <w:color w:val="000000"/>
        </w:rPr>
        <w:t xml:space="preserve">☒ </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As of February 2, 2026, there were 52,463,316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StoneX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Quarterly Report on Form 10-Q for the Quarterly Period Ended December 31, 2025</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33" w:type="dxa"/>
        <w:jc w:val="left"/>
        <w:tblInd w:w="0" w:type="dxa"/>
        <w:tblLayout w:type="fixed"/>
        <w:tblCellMar>
          <w:top w:w="28" w:type="dxa"/>
          <w:left w:w="28" w:type="dxa"/>
          <w:bottom w:w="28" w:type="dxa"/>
          <w:right w:w="28" w:type="dxa"/>
        </w:tblCellMar>
      </w:tblPr>
      <w:tblGrid>
        <w:gridCol w:w="602"/>
        <w:gridCol w:w="528"/>
        <w:gridCol w:w="528"/>
        <w:gridCol w:w="2438"/>
        <w:gridCol w:w="2438"/>
        <w:gridCol w:w="2488"/>
        <w:gridCol w:w="149"/>
        <w:gridCol w:w="149"/>
        <w:gridCol w:w="213"/>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FINANCIAL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6">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0">
              <w:r>
                <w:rPr>
                  <w:rStyle w:val="InternetLink"/>
                  <w:rFonts w:ascii="Times New Roman;serif" w:hAnsi="Times New Roman;serif"/>
                  <w:b w:val="false"/>
                  <w:color w:val="0000FF"/>
                  <w:sz w:val="20"/>
                  <w:u w:val="single"/>
                </w:rPr>
                <w:t>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9">
              <w:r>
                <w:rPr>
                  <w:rStyle w:val="InternetLink"/>
                  <w:rFonts w:ascii="Times New Roman;serif" w:hAnsi="Times New Roman;serif"/>
                  <w:b w:val="false"/>
                  <w:color w:val="0000FF"/>
                  <w:sz w:val="20"/>
                  <w:u w:val="single"/>
                </w:rPr>
                <w:t>Condensed Consolidated Income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9">
              <w:r>
                <w:rPr>
                  <w:rStyle w:val="InternetLink"/>
                  <w:rFonts w:ascii="Times New Roman;serif" w:hAnsi="Times New Roman;serif"/>
                  <w:b w:val="false"/>
                  <w:color w:val="0000FF"/>
                  <w:sz w:val="20"/>
                  <w:u w:val="single"/>
                </w:rPr>
                <w:t>2</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22">
              <w:r>
                <w:rPr>
                  <w:rStyle w:val="InternetLink"/>
                  <w:rFonts w:ascii="Times New Roman;serif" w:hAnsi="Times New Roman;serif"/>
                  <w:b w:val="false"/>
                  <w:color w:val="0000FF"/>
                  <w:sz w:val="20"/>
                  <w:u w:val="single"/>
                </w:rPr>
                <w:t>Condensed Consolidated Statements of Comprehensive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22">
              <w:r>
                <w:rPr>
                  <w:rStyle w:val="InternetLink"/>
                  <w:rFonts w:ascii="Times New Roman;serif" w:hAnsi="Times New Roman;serif"/>
                  <w:b w:val="false"/>
                  <w:color w:val="0000FF"/>
                  <w:sz w:val="20"/>
                  <w:u w:val="single"/>
                </w:rPr>
                <w:t>3</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25">
              <w:r>
                <w:rPr>
                  <w:rStyle w:val="InternetLink"/>
                  <w:rFonts w:ascii="Times New Roman;serif" w:hAnsi="Times New Roman;serif"/>
                  <w:b w:val="false"/>
                  <w:color w:val="0000FF"/>
                  <w:sz w:val="20"/>
                  <w:u w:val="single"/>
                </w:rPr>
                <w:t>4</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31">
              <w:r>
                <w:rPr>
                  <w:rStyle w:val="InternetLink"/>
                  <w:rFonts w:ascii="Times New Roman;serif" w:hAnsi="Times New Roman;serif"/>
                  <w:b w:val="false"/>
                  <w:color w:val="0000FF"/>
                  <w:sz w:val="20"/>
                  <w:u w:val="single"/>
                </w:rPr>
                <w:t>Condensed 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31">
              <w:r>
                <w:rPr>
                  <w:rStyle w:val="InternetLink"/>
                  <w:rFonts w:ascii="Times New Roman;serif" w:hAnsi="Times New Roman;serif"/>
                  <w:b w:val="false"/>
                  <w:color w:val="0000FF"/>
                  <w:sz w:val="20"/>
                  <w:u w:val="single"/>
                </w:rPr>
                <w:t>6</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34">
              <w:r>
                <w:rPr>
                  <w:rStyle w:val="InternetLink"/>
                  <w:rFonts w:ascii="Times New Roman;serif" w:hAnsi="Times New Roman;serif"/>
                  <w:b w:val="false"/>
                  <w:color w:val="0000FF"/>
                  <w:sz w:val="20"/>
                  <w:u w:val="single"/>
                </w:rPr>
                <w:t>7</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00">
              <w:r>
                <w:rPr>
                  <w:rStyle w:val="InternetLink"/>
                  <w:rFonts w:ascii="Times New Roman;serif" w:hAnsi="Times New Roman;serif"/>
                  <w:b w:val="false"/>
                  <w:color w:val="0000FF"/>
                  <w:sz w:val="20"/>
                  <w:u w:val="single"/>
                </w:rPr>
                <w:t>30</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75">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75">
              <w:r>
                <w:rPr>
                  <w:rStyle w:val="InternetLink"/>
                  <w:rFonts w:ascii="Times New Roman;serif" w:hAnsi="Times New Roman;serif"/>
                  <w:b w:val="false"/>
                  <w:color w:val="0000FF"/>
                  <w:sz w:val="20"/>
                  <w:u w:val="single"/>
                </w:rPr>
                <w:t>58</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78">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78">
              <w:r>
                <w:rPr>
                  <w:rStyle w:val="InternetLink"/>
                  <w:rFonts w:ascii="Times New Roman;serif" w:hAnsi="Times New Roman;serif"/>
                  <w:b w:val="false"/>
                  <w:color w:val="0000FF"/>
                  <w:sz w:val="20"/>
                  <w:u w:val="single"/>
                </w:rPr>
                <w:t>60</w:t>
              </w:r>
            </w:hyperlink>
          </w:p>
        </w:tc>
      </w:tr>
      <w:tr>
        <w:trPr/>
        <w:tc>
          <w:tcPr>
            <w:tcW w:w="90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84">
              <w:r>
                <w:rPr>
                  <w:rStyle w:val="InternetLink"/>
                  <w:rFonts w:ascii="Times New Roman;serif" w:hAnsi="Times New Roman;serif"/>
                  <w:b w:val="false"/>
                  <w:color w:val="0000FF"/>
                  <w:sz w:val="20"/>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84">
              <w:r>
                <w:rPr>
                  <w:rStyle w:val="InternetLink"/>
                  <w:rFonts w:ascii="Times New Roman;serif" w:hAnsi="Times New Roman;serif"/>
                  <w:b w:val="false"/>
                  <w:color w:val="0000FF"/>
                  <w:sz w:val="20"/>
                  <w:u w:val="single"/>
                </w:rPr>
                <w:t>60</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87">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87">
              <w:r>
                <w:rPr>
                  <w:rStyle w:val="InternetLink"/>
                  <w:rFonts w:ascii="Times New Roman;serif" w:hAnsi="Times New Roman;serif"/>
                  <w:b w:val="false"/>
                  <w:color w:val="0000FF"/>
                  <w:sz w:val="20"/>
                  <w:u w:val="single"/>
                </w:rPr>
                <w:t>61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90">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90">
              <w:r>
                <w:rPr>
                  <w:rStyle w:val="InternetLink"/>
                  <w:rFonts w:ascii="Times New Roman;serif" w:hAnsi="Times New Roman;serif"/>
                  <w:b w:val="false"/>
                  <w:color w:val="0000FF"/>
                  <w:sz w:val="20"/>
                  <w:u w:val="single"/>
                </w:rPr>
                <w:t>61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93">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93">
              <w:r>
                <w:rPr>
                  <w:rStyle w:val="InternetLink"/>
                  <w:rFonts w:ascii="Times New Roman;serif" w:hAnsi="Times New Roman;serif"/>
                  <w:b w:val="false"/>
                  <w:color w:val="0000FF"/>
                  <w:sz w:val="20"/>
                  <w:u w:val="single"/>
                </w:rPr>
                <w:t>61</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199">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199">
              <w:r>
                <w:rPr>
                  <w:rStyle w:val="InternetLink"/>
                  <w:rFonts w:ascii="Times New Roman;serif" w:hAnsi="Times New Roman;serif"/>
                  <w:b w:val="false"/>
                  <w:color w:val="0000FF"/>
                  <w:sz w:val="20"/>
                  <w:u w:val="single"/>
                </w:rPr>
                <w:t>62</w:t>
              </w:r>
            </w:hyperlink>
          </w:p>
        </w:tc>
      </w:tr>
      <w:tr>
        <w:trPr/>
        <w:tc>
          <w:tcPr>
            <w:tcW w:w="1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f6ffd044af5493e8c0f30e256870d27_202">
              <w:r>
                <w:rPr>
                  <w:rStyle w:val="InternetLink"/>
                  <w:rFonts w:ascii="Times New Roman;serif" w:hAnsi="Times New Roman;serif"/>
                  <w:b w:val="false"/>
                  <w:color w:val="0000FF"/>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f6ffd044af5493e8c0f30e256870d27_202">
              <w:r>
                <w:rPr>
                  <w:rStyle w:val="InternetLink"/>
                  <w:rFonts w:ascii="Times New Roman;serif" w:hAnsi="Times New Roman;serif"/>
                  <w:b w:val="false"/>
                  <w:color w:val="0000FF"/>
                  <w:sz w:val="20"/>
                  <w:u w:val="single"/>
                </w:rPr>
                <w:t>62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17"/>
        <w:gridCol w:w="2298"/>
        <w:gridCol w:w="2318"/>
        <w:gridCol w:w="196"/>
        <w:gridCol w:w="784"/>
        <w:gridCol w:w="109"/>
        <w:gridCol w:w="109"/>
        <w:gridCol w:w="109"/>
        <w:gridCol w:w="109"/>
        <w:gridCol w:w="199"/>
        <w:gridCol w:w="797"/>
        <w:gridCol w:w="160"/>
      </w:tblGrid>
      <w:tr>
        <w:trPr/>
        <w:tc>
          <w:tcPr>
            <w:tcW w:w="3017"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par value and share amounts)</w:t>
            </w:r>
          </w:p>
        </w:tc>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ASSETS</w:t>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securities and other assets segregated under federal and other regulations (including $1,010.6 million and $950.0 million at fair value at December 31, 2025 and September 30, 2025,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Collateralized transactions: </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10,325.4 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Deposits with and receivables from broker-dealers, clearing organizations and counterparties, net (including $4,663.0 million and $6,442.9 million at fair value at December 31, 2025 and September 30, 2025,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Receivable from clients, net (including $25.3 million and $58.1 million at fair value at December 31, 2025 and September 30, 2025, respectively)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 (includes securities pledged as collateral that can be sold or repledged of $1,969.0 million and $1,165.8 million at December 31, 2025 and September 30, 2025, respectively)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Physical commodities inventory, net (including $708.7 million and $471.1 million at fair value at December 31, 2025 and September 30, 2025,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917.5 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right of use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LIABILITIES AND STOCKHOLDERS' EQUITY</w:t>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 (including $55.5 million and $32.3 million at fair value at December 31, 2025 and September 30, 2025, respectively)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Clients (including $1,049.3 million and $530.7 million at fair value at December 31, 2025 and September 30, 2025, respectively)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19,864.1 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Broker-dealers, clearing organizations and counterparties (including $16.6 million and $38.4 million at fair value at December 31, 2025 and September 30, 2025, respectively)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Lenders under loans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borrowings,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Collateralized transactions: </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42,890.6 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 11)</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Authorized 1,000,000 shares; no shares issued or outstanding</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200,000,000 shares; 55,137,294 issued and 52,356,371 outstanding at December 31, 2025 and 54,967,558 issued and 52,186,635 outstanding at September 30, 2025</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in treasury, at cost. 2,780,923 shares at December 31, 2025 and September 30, 2025</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paid-in-capital</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equity</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45,268.0 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6866" w:type="dxa"/>
        <w:jc w:val="center"/>
        <w:tblInd w:w="0" w:type="dxa"/>
        <w:tblLayout w:type="fixed"/>
        <w:tblCellMar>
          <w:top w:w="28" w:type="dxa"/>
          <w:left w:w="28" w:type="dxa"/>
          <w:bottom w:w="28" w:type="dxa"/>
          <w:right w:w="28" w:type="dxa"/>
        </w:tblCellMar>
      </w:tblPr>
      <w:tblGrid>
        <w:gridCol w:w="1513"/>
        <w:gridCol w:w="1330"/>
        <w:gridCol w:w="1341"/>
        <w:gridCol w:w="206"/>
        <w:gridCol w:w="824"/>
        <w:gridCol w:w="115"/>
        <w:gridCol w:w="115"/>
        <w:gridCol w:w="115"/>
        <w:gridCol w:w="115"/>
        <w:gridCol w:w="206"/>
        <w:gridCol w:w="824"/>
        <w:gridCol w:w="162"/>
      </w:tblGrid>
      <w:tr>
        <w:trPr/>
        <w:tc>
          <w:tcPr>
            <w:tcW w:w="151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 and per share amounts)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corporate funding</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other expenses:</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compensation and other expenses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 gains, net</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per share:</w:t>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number of common shares outstanding:</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50,569,386 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46,464,063 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53,654,586 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48,667,158 </w:t>
            </w:r>
          </w:p>
        </w:tc>
        <w:tc>
          <w:tcPr>
            <w:tcW w:w="16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5712" w:type="dxa"/>
        <w:jc w:val="center"/>
        <w:tblInd w:w="0" w:type="dxa"/>
        <w:tblLayout w:type="fixed"/>
        <w:tblCellMar>
          <w:top w:w="28" w:type="dxa"/>
          <w:left w:w="28" w:type="dxa"/>
          <w:bottom w:w="28" w:type="dxa"/>
          <w:right w:w="28" w:type="dxa"/>
        </w:tblCellMar>
      </w:tblPr>
      <w:tblGrid>
        <w:gridCol w:w="1097"/>
        <w:gridCol w:w="963"/>
        <w:gridCol w:w="969"/>
        <w:gridCol w:w="262"/>
        <w:gridCol w:w="745"/>
        <w:gridCol w:w="146"/>
        <w:gridCol w:w="146"/>
        <w:gridCol w:w="146"/>
        <w:gridCol w:w="146"/>
        <w:gridCol w:w="262"/>
        <w:gridCol w:w="624"/>
        <w:gridCol w:w="206"/>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Foreign currency translation adjustment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loss, net of tax</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income</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9730" w:type="dxa"/>
        <w:jc w:val="center"/>
        <w:tblInd w:w="0" w:type="dxa"/>
        <w:tblLayout w:type="fixed"/>
        <w:tblCellMar>
          <w:top w:w="28" w:type="dxa"/>
          <w:left w:w="28" w:type="dxa"/>
          <w:bottom w:w="28" w:type="dxa"/>
          <w:right w:w="28" w:type="dxa"/>
        </w:tblCellMar>
      </w:tblPr>
      <w:tblGrid>
        <w:gridCol w:w="2555"/>
        <w:gridCol w:w="2243"/>
        <w:gridCol w:w="2252"/>
        <w:gridCol w:w="222"/>
        <w:gridCol w:w="785"/>
        <w:gridCol w:w="123"/>
        <w:gridCol w:w="123"/>
        <w:gridCol w:w="123"/>
        <w:gridCol w:w="123"/>
        <w:gridCol w:w="222"/>
        <w:gridCol w:w="785"/>
        <w:gridCol w:w="174"/>
      </w:tblGrid>
      <w:tr>
        <w:trPr/>
        <w:tc>
          <w:tcPr>
            <w:tcW w:w="2555"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7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operating activities:</w:t>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used in operating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right of 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equity method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deferred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to fair value of deferred consideration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sale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and other assets segregated under federal and other regulations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Deposits with and receivables from broker-dealers, clearing organizations, and counterparties,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(1,317.6)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Receivables from clients,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owned, at fair value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commodities inventory,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other 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clients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broker-dealers, clearing organizations, and counterparties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 at fair value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(1,261.7)</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investing activities:</w:t>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businesses and assets, net of cash received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method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flows from financing activities:</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payables to lenders under loans with maturities 90 days or less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note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payments on acquisitions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taxes on vesting of equity awards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(299.8)</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rates on cash, segregated cash, cash equivalents, and segregated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segregated cash, cash equivalents, and segregated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(1,590.5)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(329.6)</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segregated cash, cash equivalents, and segregated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11,520.2 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6,672.6 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segregated cash, cash equivalents, and segregated cash equivalents at end of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9,929.7 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6,343.0 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cash flow information:</w:t>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paid, net of cash refunds</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disclosure of non-cash investing and financing activities:</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Identified intangible assets and goodwill on acquisitions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consideration payable related to acquisitions, net</w:t>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consideration paid in silver bullion</w:t>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7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business:</w:t>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acquired</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assumed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net assets acquired</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7050"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 Continued</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a reconciliation of cash, segregated cash, cash equivalents, and segregated cash equivalents reported within the Condensed Consolidated Balance Sheets. </w:t>
      </w:r>
    </w:p>
    <w:tbl>
      <w:tblPr>
        <w:tblW w:w="10205" w:type="dxa"/>
        <w:jc w:val="center"/>
        <w:tblInd w:w="0" w:type="dxa"/>
        <w:tblLayout w:type="fixed"/>
        <w:tblCellMar>
          <w:top w:w="28" w:type="dxa"/>
          <w:left w:w="28" w:type="dxa"/>
          <w:bottom w:w="28" w:type="dxa"/>
          <w:right w:w="28" w:type="dxa"/>
        </w:tblCellMar>
      </w:tblPr>
      <w:tblGrid>
        <w:gridCol w:w="2923"/>
        <w:gridCol w:w="2463"/>
        <w:gridCol w:w="2454"/>
        <w:gridCol w:w="196"/>
        <w:gridCol w:w="691"/>
        <w:gridCol w:w="109"/>
        <w:gridCol w:w="109"/>
        <w:gridCol w:w="109"/>
        <w:gridCol w:w="109"/>
        <w:gridCol w:w="196"/>
        <w:gridCol w:w="691"/>
        <w:gridCol w:w="155"/>
      </w:tblGrid>
      <w:tr>
        <w:trPr/>
        <w:tc>
          <w:tcPr>
            <w:tcW w:w="2923"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1,398.2 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segregated under federal and other regulations</w:t>
            </w:r>
            <w:r>
              <w:rPr>
                <w:rFonts w:ascii="Times New Roman;serif" w:hAnsi="Times New Roman;serif"/>
                <w:b w:val="false"/>
                <w:color w:val="000000"/>
                <w:sz w:val="10"/>
              </w:rPr>
              <w:t>(1)</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segregated under federal and other regulations</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segregated and deposited with or pledged to exchange-clearing organizations and other futures commission merchants (“FCMs”)</w:t>
            </w:r>
            <w:r>
              <w:rPr>
                <w:rFonts w:ascii="Times New Roman;serif" w:hAnsi="Times New Roman;serif"/>
                <w:b w:val="false"/>
                <w:color w:val="000000"/>
                <w:sz w:val="10"/>
              </w:rPr>
              <w:t>(3)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Securities segregated and pledged to exchange-clearing organizations</w:t>
            </w:r>
            <w:r>
              <w:rPr>
                <w:rFonts w:ascii="Times New Roman;serif" w:hAnsi="Times New Roman;serif"/>
                <w:b w:val="false"/>
                <w:color w:val="000000"/>
                <w:sz w:val="10"/>
              </w:rPr>
              <w:t>(4)</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cash, segregated cash, cash equivalents, and segregated cash equivalents shown in the condensed consolidated statements of cash flows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6,343.0 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Represents segregated client cash held at third-party banks included within </w:t>
      </w:r>
      <w:r>
        <w:rPr>
          <w:rFonts w:ascii="Times New Roman;serif" w:hAnsi="Times New Roman;serif"/>
          <w:b w:val="false"/>
          <w:i/>
          <w:color w:val="000000"/>
          <w:sz w:val="18"/>
        </w:rPr>
        <w:t>Cash, securities and other assets segregated under federal and other regulations</w:t>
      </w:r>
      <w:r>
        <w:rPr>
          <w:color w:val="000000"/>
        </w:rPr>
        <w:t xml:space="preserve"> </w:t>
      </w:r>
      <w:r>
        <w:rPr>
          <w:rFonts w:ascii="Times New Roman;serif" w:hAnsi="Times New Roman;serif"/>
          <w:b w:val="false"/>
          <w:color w:val="000000"/>
          <w:sz w:val="18"/>
        </w:rPr>
        <w:t>on the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Represents segregated client United States (“U.S.”) Treasury obligations and U.S. government agency obligations. Excludes segregated commodity warehouse receipts, segregated U.S. Treasury obligations with acquired maturities of greater than 90 days, and other assets, combined totaling $824.5 million and $9.2 million as of December 31, 2025 and 2024, respectively, included within </w:t>
      </w:r>
      <w:r>
        <w:rPr>
          <w:rFonts w:ascii="Times New Roman;serif" w:hAnsi="Times New Roman;serif"/>
          <w:b w:val="false"/>
          <w:i/>
          <w:color w:val="000000"/>
          <w:sz w:val="18"/>
        </w:rPr>
        <w:t>Cash, securities and other assets segregated under federal and other regulations</w:t>
      </w:r>
      <w:r>
        <w:rPr>
          <w:color w:val="000000"/>
        </w:rPr>
        <w:t xml:space="preserve"> </w:t>
      </w:r>
      <w:r>
        <w:rPr>
          <w:rFonts w:ascii="Times New Roman;serif" w:hAnsi="Times New Roman;serif"/>
          <w:b w:val="false"/>
          <w:color w:val="000000"/>
          <w:sz w:val="18"/>
        </w:rPr>
        <w:t xml:space="preserve">on the Condensed Consolidated Balance Sheets.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 xml:space="preserve">Represents segregated client cash on deposit with, or pledged to, exchange clearing organizations and other FCMs. Excludes non-segregated cash and other assets, combined totaling $2,561.9 million and $2,683.6 million as of December 31, 2025 and 2024, respectively, included within </w:t>
      </w:r>
      <w:r>
        <w:rPr>
          <w:rFonts w:ascii="Times New Roman;serif" w:hAnsi="Times New Roman;serif"/>
          <w:b w:val="false"/>
          <w:i/>
          <w:color w:val="000000"/>
          <w:sz w:val="18"/>
        </w:rPr>
        <w:t>Deposits with and receivables from broker-dealers, clearing organizations, and counterparties, net</w:t>
      </w:r>
      <w:r>
        <w:rPr>
          <w:color w:val="000000"/>
        </w:rPr>
        <w:t xml:space="preserve"> </w:t>
      </w:r>
      <w:r>
        <w:rPr>
          <w:rFonts w:ascii="Times New Roman;serif" w:hAnsi="Times New Roman;serif"/>
          <w:b w:val="false"/>
          <w:color w:val="000000"/>
          <w:sz w:val="18"/>
        </w:rPr>
        <w:t>on the Condensed Consolidated Balance Sheets.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 xml:space="preserve">Represents segregated client U.S. Treasury obligations and U.S. government agency obligations on deposit with, or pledged to, exchange clearing organizations and other FCMs. Excludes segregated securities pledged to exchange-clearing organizations with acquired maturities greater than 90 days and other assets, combined totaling $4,251.5 million and $3,303.0 million as of December 31, 2025 and 2024, respectively, included within </w:t>
      </w:r>
      <w:r>
        <w:rPr>
          <w:rFonts w:ascii="Times New Roman;serif" w:hAnsi="Times New Roman;serif"/>
          <w:b w:val="false"/>
          <w:i/>
          <w:color w:val="000000"/>
          <w:sz w:val="18"/>
        </w:rPr>
        <w:t>Deposits with and receivables from broker-dealers, clearing organizations, and counterparties, net</w:t>
      </w:r>
      <w:r>
        <w:rPr>
          <w:color w:val="000000"/>
        </w:rPr>
        <w:t xml:space="preserve"> </w:t>
      </w:r>
      <w:r>
        <w:rPr>
          <w:rFonts w:ascii="Times New Roman;serif" w:hAnsi="Times New Roman;serif"/>
          <w:b w:val="false"/>
          <w:color w:val="000000"/>
          <w:sz w:val="18"/>
        </w:rPr>
        <w:t>on the Condensed Consolidated Balance Sheets.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56"/>
        <w:gridCol w:w="518"/>
        <w:gridCol w:w="464"/>
        <w:gridCol w:w="251"/>
        <w:gridCol w:w="482"/>
        <w:gridCol w:w="141"/>
        <w:gridCol w:w="109"/>
        <w:gridCol w:w="109"/>
        <w:gridCol w:w="109"/>
        <w:gridCol w:w="217"/>
        <w:gridCol w:w="553"/>
        <w:gridCol w:w="120"/>
        <w:gridCol w:w="109"/>
        <w:gridCol w:w="109"/>
        <w:gridCol w:w="109"/>
        <w:gridCol w:w="258"/>
        <w:gridCol w:w="733"/>
        <w:gridCol w:w="144"/>
        <w:gridCol w:w="109"/>
        <w:gridCol w:w="109"/>
        <w:gridCol w:w="109"/>
        <w:gridCol w:w="215"/>
        <w:gridCol w:w="759"/>
        <w:gridCol w:w="119"/>
        <w:gridCol w:w="109"/>
        <w:gridCol w:w="109"/>
        <w:gridCol w:w="109"/>
        <w:gridCol w:w="421"/>
        <w:gridCol w:w="1035"/>
        <w:gridCol w:w="235"/>
        <w:gridCol w:w="109"/>
        <w:gridCol w:w="109"/>
        <w:gridCol w:w="109"/>
        <w:gridCol w:w="196"/>
        <w:gridCol w:w="691"/>
        <w:gridCol w:w="162"/>
      </w:tblGrid>
      <w:tr>
        <w:trPr/>
        <w:tc>
          <w:tcPr>
            <w:tcW w:w="8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Three Months Ended December 31, 2024</w:t>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shd w:fill="FFFFFF" w:val="clear"/>
              </w:rPr>
            </w:pPr>
            <w:r>
              <w:rPr>
                <w:rFonts w:ascii="Times New Roman;serif" w:hAnsi="Times New Roman;serif"/>
                <w:b/>
                <w:color w:val="000000"/>
                <w:sz w:val="16"/>
                <w:shd w:fill="FFFFFF" w:val="clear"/>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 xml:space="preserve">Total </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September 30, 2024</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414.2 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1,388.9 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taxes on vesting of equity awards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2024</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1,474.0 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856"/>
        <w:gridCol w:w="518"/>
        <w:gridCol w:w="464"/>
        <w:gridCol w:w="251"/>
        <w:gridCol w:w="482"/>
        <w:gridCol w:w="141"/>
        <w:gridCol w:w="109"/>
        <w:gridCol w:w="109"/>
        <w:gridCol w:w="109"/>
        <w:gridCol w:w="217"/>
        <w:gridCol w:w="553"/>
        <w:gridCol w:w="120"/>
        <w:gridCol w:w="109"/>
        <w:gridCol w:w="109"/>
        <w:gridCol w:w="109"/>
        <w:gridCol w:w="258"/>
        <w:gridCol w:w="733"/>
        <w:gridCol w:w="144"/>
        <w:gridCol w:w="109"/>
        <w:gridCol w:w="109"/>
        <w:gridCol w:w="109"/>
        <w:gridCol w:w="215"/>
        <w:gridCol w:w="759"/>
        <w:gridCol w:w="119"/>
        <w:gridCol w:w="109"/>
        <w:gridCol w:w="109"/>
        <w:gridCol w:w="109"/>
        <w:gridCol w:w="421"/>
        <w:gridCol w:w="1035"/>
        <w:gridCol w:w="235"/>
        <w:gridCol w:w="109"/>
        <w:gridCol w:w="109"/>
        <w:gridCol w:w="109"/>
        <w:gridCol w:w="196"/>
        <w:gridCol w:w="691"/>
        <w:gridCol w:w="162"/>
      </w:tblGrid>
      <w:tr>
        <w:trPr/>
        <w:tc>
          <w:tcPr>
            <w:tcW w:w="8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2025</w:t>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Common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Treasury Stock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Paid-in Capital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September 30, 2025</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taxes on vesting of equity awards</w:t>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2025</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739.9 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1,833.8 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00" w:after="18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StoneX Group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 – Basis of Presentation and Consolidation and Accounting Standards Adopted </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StoneX Group Inc., a Delaware corporation, and its consolidated subsidiaries (collectively “StoneX” or “the Company”), is a global financial services network that connects companies, organizations, traders and investors to the global market ecosystem through a unique blend of digital platforms, end-to-end clearing and execution services, high touch service, and deep expertise. The Company’s common stock trades on The NASDAQ Global Select Market under the symbol “SNEX”.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Balance Sheet as of September 30, 2025, which has been derived from the audited consolidated balance sheet of September 30, 2025, and the unaudited interim condensed consolidated financial statements have been prepared pursuant to the rules and regulations of the Securities and Exchange Commission (“SEC”). Certain information and disclosures normally included in annual consolidated financial statements prepared in accordance with accounting principles generally accepted in the United States of America (“U.S. GAAP”) have been condensed or omitted pursuant to those rules and regulations. The Company believes that the included disclosures clearly and fairly present the information within. In management’s opinion, all adjustments, generally consisting of normal accruals, considered necessary to fairly present the condensed consolidated financial statements for the interim periods presented have been reflected as required by Rule 10-01 of Regulation S-X.</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results for interim periods are not necessarily indicative of the results that may be expected for the full year. These condensed consolidated financial statements should be read in conjunction with the Company’s audited consolidated financial statements and related notes contained in the Company’s Annual Report on Form 10-K for the fiscal year ended September 30, 2025, as filed with the SEC.</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include the accounts of StoneX Group Inc. and all entities in which the Company has a controlling financial interest. All material intercompany transactions and balances have been eliminated in consolidation.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Preparing condensed consolidated financial statements in conformity with U.S. GAAP requires management to make estimates and assumptions that affect the reported amounts of assets and liabilities, disclosure of contingent liabilities as of the date of the condensed consolidated financial statements and the reported amounts of revenue and expenses during the reporting period. The most significant of these estimates and assumptions in the current year relate to fair value measurements for financial instruments, revenue recognition, valuation of inventories, and income taxes. The Company reviews all significant estimates affecting the financial statements on a recurring basis and makes necessary adjustments to the financial statements presented within this Form 10-Q. Although these and other estimates and assumptions are based on the best available information, actual results could be materially different from estimates. Estimates and assumptions are based on management’s best knowledge of current events and actions the Company may undertake in the future, using information reasonably available to the Company as of December 31, 2025 and through the date of this Form 10-Q.</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Subsequent Common Stock Split</w:t>
      </w:r>
    </w:p>
    <w:p>
      <w:pPr>
        <w:pStyle w:val="TextBody"/>
        <w:bidi w:val="0"/>
        <w:spacing w:lineRule="auto" w:line="288" w:before="120" w:after="2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Company’s Board of Directors approved a three-for-two split of its common stock, which will be effected as a stock dividend entitling each stockholder of record to receive one additional share of common stock for every two shares owned. Additional shares issued as a result of the stock dividend will be distributed after close of trading on March 20, 2026, to stockholders of record at the close of business on March 10, 2026. Cash will be distributed in lieu of fractional shares based on the opening price of a share of common stock on March 11, 2026. Trading is expected to begin on a stock split-adjusted basis at market open on March 23, 2026. All share and per share amounts contained herein have not been retroactively adjusted for this subsequent stock split.</w:t>
      </w:r>
    </w:p>
    <w:p>
      <w:pPr>
        <w:pStyle w:val="TextBody"/>
        <w:bidi w:val="0"/>
        <w:spacing w:lineRule="auto" w:line="288" w:before="120" w:after="100"/>
        <w:jc w:val="left"/>
        <w:rPr>
          <w:rFonts w:ascii="Times New Roman;serif" w:hAnsi="Times New Roman;serif"/>
          <w:b/>
          <w:i/>
          <w:color w:val="000000"/>
          <w:sz w:val="20"/>
        </w:rPr>
      </w:pPr>
      <w:r>
        <w:rPr>
          <w:rFonts w:ascii="Times New Roman;serif" w:hAnsi="Times New Roman;serif"/>
          <w:b/>
          <w:i/>
          <w:color w:val="000000"/>
          <w:sz w:val="20"/>
        </w:rPr>
        <w:t>Accounting Standards Adopted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November 2023, the Financial Accounting Standards Board (“FASB”) issued Accounting Standards Update (“ASU”) No. 2023-07, Improvements to Reportable Segment Disclosures, which requires entities to enhance disclosures regarding segments, including significant segment expenses. The Company adopted ASU No. 2023-07 related to annual disclosure requirements effective with the fiscal 2025 Form 10-K, with newly required annual disclosures being included in Note 22 of the fiscal 2025 Form 10-K. The Company adopted ASU 2023-07 related to interim disclosure requirements effective with the first quarter fiscal 2026 10-Q filing and applied the updated disclosure requirements retrospectively to all periods presented. See Note 18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2 – Earnings per Share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basic and diluted earnings per share (“EPS”) using the two-class method, which requires all outstanding unvested share-based payment awards that contain rights to non-forfeitable dividends and therefore participate in undistributed earnings with common stockholders be included in computing earnings per share. Under the two-class method, net income is reduced by the amount of dividends declared in the period for each class of common stock and participating security. The remaining undistributed earnings are then allocated to common stock and participating securities, based on their respective rights to receive dividends. Restricted stock awards granted to certain employees and directors contain non-forfeitable rights to dividends at the same rate as common stock and are considered participating securities. Basic EPS has been computed by dividing net income by the weighted-average number of common shares outstanding.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the numerator and denominator of the diluted earnings per share computations for the periods presented below.</w:t>
      </w:r>
    </w:p>
    <w:tbl>
      <w:tblPr>
        <w:tblW w:w="6103" w:type="dxa"/>
        <w:jc w:val="left"/>
        <w:tblInd w:w="0" w:type="dxa"/>
        <w:tblLayout w:type="fixed"/>
        <w:tblCellMar>
          <w:top w:w="28" w:type="dxa"/>
          <w:left w:w="28" w:type="dxa"/>
          <w:bottom w:w="28" w:type="dxa"/>
          <w:right w:w="28" w:type="dxa"/>
        </w:tblCellMar>
      </w:tblPr>
      <w:tblGrid>
        <w:gridCol w:w="1209"/>
        <w:gridCol w:w="1063"/>
        <w:gridCol w:w="1073"/>
        <w:gridCol w:w="262"/>
        <w:gridCol w:w="745"/>
        <w:gridCol w:w="146"/>
        <w:gridCol w:w="146"/>
        <w:gridCol w:w="146"/>
        <w:gridCol w:w="146"/>
        <w:gridCol w:w="284"/>
        <w:gridCol w:w="677"/>
        <w:gridCol w:w="206"/>
      </w:tblGrid>
      <w:tr>
        <w:trPr/>
        <w:tc>
          <w:tcPr>
            <w:tcW w:w="12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share amounts)</w:t>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Numerator:</w:t>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Allocation to participating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allocated to common stockholders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115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number of:</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outstanding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50,569,386 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46,464,063 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Dilutive potential common shares outstanding:</w:t>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awards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3,085,200 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2,203,095 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 weighted-average common shares</w:t>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53,654,586 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48,667,158 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dilutive effect of share-based awards is reflected in diluted net income per share by applying the treasury stock method, which includes consideration of unamortized share-based compensation expense.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Options to purchase 531,848 and 717,832 shares of common stock for the three months ended December 31, 2025 and 2024, respectively, were excluded from the calculation of diluted earnings per share as they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3 – Assets and Liabilities, at Fair Value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by U.S. GAAP as the exchange price that would be received for an asset or paid to transfer a liability (an exit price) in the principal or most advantageous market for the asset or liability in an orderly transaction between willing market participants on the measurement date.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Fair value is a market-based measure considered from the perspective of a market participant rather than an entity-specific measure. Even when market assumptions are not readily available, the Company is required to develop a set of assumptions that reflect those that market participants would use in pricing an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has designed independent price verification controls to validate relevant prices.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and nonfinancial assets and liabilities are classified in their entirety based on the lowest level of input that is significant to the fair value measurement. The hierarchy gives the highest priority to unadjusted quoted prices in active markets for identical assets or liabilities (Level 1 measurements) and the lowest priority to unobservable inputs (Level 3 measurements). A market is active if there are sufficient transactions on an ongoing basis to provide current pricing information for the asset or liability, pricing information is released publicly, and price quotations do not vary substantially either over time or among market participants. Observable inputs reflect the assumptions market participants would use in pricing the asset or liability developed based on market data obtained from sources independent of the reporting entity.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Relevant guidance requires the Company to consider counterparty credit risk of all parties to outstanding derivative instruments that would be considered by a market participant in the transfer or settlement of such contracts (exit price). The Company’s exposure to credit risk on derivative financial instruments principally relates to the portfolio of over-the-counter (“OTC”) derivative contracts as all exchange-traded contracts held can be settled on an active market with a credit guarantee from the respective exchange. The Company requires each counterparty to deposit margin collateral for all OTC instruments and is also required to deposit margin collateral with counterparties. The Company has assessed the nature of these deposits and used its discretion to adjust each based on the underlying credit considerations for the counterparty and determined that the collateral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deposits minimize the exposure to counterparty credit risk in the evaluation of the fair value of OTC instruments as determined by a market participant.</w:t>
      </w:r>
    </w:p>
    <w:p>
      <w:pPr>
        <w:pStyle w:val="TextBody"/>
        <w:bidi w:val="0"/>
        <w:spacing w:lineRule="auto" w:line="288" w:before="120" w:after="120"/>
        <w:jc w:val="left"/>
        <w:rPr/>
      </w:pPr>
      <w:r>
        <w:rPr>
          <w:rFonts w:ascii="Times New Roman;serif" w:hAnsi="Times New Roman;serif"/>
          <w:b w:val="false"/>
          <w:color w:val="000000"/>
          <w:sz w:val="20"/>
        </w:rPr>
        <w:t xml:space="preserve">In accordance with FASB Accounting Standards Codification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 xml:space="preserve">the Company groups its assets and liabilities measured at fair value in three levels based on the markets in which the assets and liabilities are traded and the reliability of the assumptions used to determine fair value. These levels are: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Level 1 - Valuation is based upon unadjusted quoted prices in active markets that are accessible at the measurement date for identical, unrestricted assets or liabilities. Level 1 consists of financial assets and liabilities whose fair values are estimated using quoted market prices.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Level 2 - Valuation is based upon quoted prices for identical or similar assets or liabilities in markets that are less active, that is, markets in which there are few transactions for the asset or liability that are observable for substantially the full term. Included in Level 2 are those financial assets and liabilities for which fair values are estimated using models or other valuation methodologies. These models are primarily industry-standard models that consider various observable inputs, including time value, yield curve, volatility factors, observable current market and contractual prices for the underlying financial instruments, as well as other relevant economic measures.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Level 3 - Valuation is based on prices or valuation techniques that require inputs that are both significant to the fair value measurement and unobservable (i.e., supported by little or no market activity). Level 3 comprises financial assets and liabilities whose fair value is estimated based on internally developed models or methodologies utilizing significant inputs that are not readily observable from objective sources. Level 3 includes contingent liabilities that have been valued using an income approach based upon management developed discounted cash flow projections, which are an unobservable input.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Fair value of financial and nonfinancial assets and liabilities that are carried on the Condensed Consolidated Balance Sheets at fair value on a recurring basis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reported at fair value on a recurring basis includes certificates of deposit and money market mutual funds, which are stated at cost plus accrued interest, which approximates fair value.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Cash, securities and other assets segregated under federal and other regulations reported at fair value on a recurring basis include the value of pledged investments, primarily U.S. Treasury obligations and commodities warehouse receipts.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Deposits with and receivables from broker-dealers, clearing organizations and counterparties and payable to clients and broker-dealers, clearing organizations and counterparties includes the fair value of pledged investments, primarily U.S. Treasury obligations and foreign government obligations. These balances also include the fair value of exchange-traded options on futures and OTC forwards, swaps and options.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owned and sold, not yet purchased include the fair value of equity securities, which includes common, preferred, and foreign ordinary shares, American Depository Receipts (“ADRs”), Global Depository Receipts (“GDRs”), and exchange-traded funds (“ETFs”), corporate and municipal bonds, U.S. Treasury obligations, U.S. government agency obligations, foreign government obligations, agency mortgage-backed obligations, asset-backed obligations, derivative financial instruments, commodities warehouse receipts, exchange firm common stock, and investments in managed funds. The fair value of exchange firm common stock is determined by quoted market prices.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equivalents, debt and equity securities, commodities warehouse receipts, physical commodities inventory, derivative financial instruments and contingent liabilities are carried at fair value, on a recurring basis, and are classified and disclosed into three levels in the fair value hierarchy.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section describes the valuation methodologies used by the Company to measure classes of financial instruments at fair value and specifies the level within the fair value hierarchy where various financial instruments are classified.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uses quoted prices in active markets, where available, and classifies instruments with such quotes within Level 1 of the fair value hierarchy. Examples include U.S. Treasury obligations, foreign government obligations, commodities warehouse receipts, certain equity securities traded in active markets, physical precious metals inventory held by a regulated broker-dealer subsidiary, exchange firm common stock, investments in managed funds, as well as options on futures contracts traded on national exchanges.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When instruments are traded in secondary markets and observable prices are not available for substantially the full term, the Company generally relies on internal valuation techniques based upon observable inputs for comparable financial instruments, or prices obtained from third-party pricing services or brokers or a combination thereof, and accordingly, classifies these instruments as Level 2. Examples include corporate and municipal bonds, U.S. government agency obligations, agency-mortgage backed obligations, asset-backed obligations, certain equity securities traded in less active markets, and OTC derivative contracts, which include purchase and sale commitments related to the Company’s foreign exchange, agricultural, and energy commodities.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Certain derivatives without a quoted price in an active market and derivatives executed OTC are valued using internal valuation techniques, including pricing models which utilize significant inputs observable to market participants. The valuation techniques and inputs depend on the type of derivative and the nature of the underlying instrument. The key inputs depend upon the type of derivative and the nature of the underlying instrument and include interest yield curves, foreign exchange rates, commodity prices, volatilities and correlations. These derivative instruments are included within Level 2 of the fair value hierarchy.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Physical commodities inventory includes precious metals that are a part of the trading activities of a regulated broker-dealer subsidiary. The physical commodities held by the broker-dealer are recorded at fair value using exchange-quoted prices. Physical commodities inventory also includes agricultural commodities that are a part of the trading activities of a non-broker dealer subsidiary and are recorded at net realizable value using exchange-quoted prices. The fair value of precious metals physical commodities inventory is based upon unadjusted exchange-quoted prices and is, therefore, classified within Level 1 of the fair value hierarchy. The fair value of agricultural physical commodities inventory and the related OTC firm sale and purchase commitments are generally based upon exchange-quoted prices, adjusted for basis or differences in local markets, broker or dealer quotations or market transactions in either listed or OTC markets. Exchange-quoted prices are adjusted for location and quality because the exchange-quoted prices for agricultural and energy related products represent contracts that have standardized terms for commodity, quantity, future delivery period, delivery location, and commodity quality or grade. The basis or local market adjustments are observable inputs or have an insignificant impact on the measurement of fair value and, therefore, the agricultural physical commodities inventory, as well as the related OTC forward firm sale and purchase commitments have been included within Level 2 of the fair value hierarchy.</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With the exception of certain derivative instruments where the valuation approach is disclosed above, financial instruments owned and sold are primarily valued using third-party pricing sources. Third-party pricing vendors compile prices from various sources and often apply matrix pricing for similar securities when market-observable transactions for the instruments are not observable for substantially the full term. The Company reviews the pricing methodologies used by third-party pricing vendors in order to evaluate the fair value hierarchy classification of vendor-priced financial instruments and the accuracy of vendor pricing, which typically involves comparing primary vendor prices to internal trader prices or secondary vendor prices. When evaluating the propriety of vendor-priced financial instruments using secondary prices, considerations include the range and quality of vendor prices, level of observable transactions for identical and similar instruments, and judgments based upon knowledge of a particular market and asset class. If the primary vendor price does not represent fair value, justification for using a secondary price, including source data used to make the determination, is subject to review and approval by authorized personnel prior to using a secondary price. Financial instruments owned and sold that are valued using third party pricing sources are included within either Level 1 or Level 2 of the fair value hierarchy based upon the observability of the inputs used and the level of activity in the market.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estimates presented herein are based on pertinent information available to management as of December 31, 2025 and September 30, 2025 and through the dates of the respective reports. Although management is not aware of any factors that would significantly affect the estimated fair value amounts, such amounts have not been comprehensively revalued for purposes of these condensed consolidated financial statements since that date and current estimates of fair value may differ significantly from the amounts presented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Company’s financial and nonfinancial assets and liabilities accounted for at fair value, on a recurring basis, as of December 31, 2025 and September 30, 2025 by level in the fair value hierarchy. All fair value measurements were performed on a recurring basis as of December 31, 2025 and September 30, 2025.</w:t>
      </w:r>
    </w:p>
    <w:tbl>
      <w:tblPr>
        <w:tblW w:w="10205" w:type="dxa"/>
        <w:jc w:val="left"/>
        <w:tblInd w:w="0" w:type="dxa"/>
        <w:tblLayout w:type="fixed"/>
        <w:tblCellMar>
          <w:top w:w="28" w:type="dxa"/>
          <w:left w:w="28" w:type="dxa"/>
          <w:bottom w:w="28" w:type="dxa"/>
          <w:right w:w="28" w:type="dxa"/>
        </w:tblCellMar>
      </w:tblPr>
      <w:tblGrid>
        <w:gridCol w:w="1557"/>
        <w:gridCol w:w="1138"/>
        <w:gridCol w:w="1090"/>
        <w:gridCol w:w="196"/>
        <w:gridCol w:w="781"/>
        <w:gridCol w:w="109"/>
        <w:gridCol w:w="109"/>
        <w:gridCol w:w="109"/>
        <w:gridCol w:w="109"/>
        <w:gridCol w:w="196"/>
        <w:gridCol w:w="781"/>
        <w:gridCol w:w="109"/>
        <w:gridCol w:w="109"/>
        <w:gridCol w:w="109"/>
        <w:gridCol w:w="109"/>
        <w:gridCol w:w="196"/>
        <w:gridCol w:w="466"/>
        <w:gridCol w:w="109"/>
        <w:gridCol w:w="109"/>
        <w:gridCol w:w="109"/>
        <w:gridCol w:w="109"/>
        <w:gridCol w:w="196"/>
        <w:gridCol w:w="731"/>
        <w:gridCol w:w="109"/>
        <w:gridCol w:w="109"/>
        <w:gridCol w:w="109"/>
        <w:gridCol w:w="109"/>
        <w:gridCol w:w="196"/>
        <w:gridCol w:w="781"/>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Certificates of deposit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mutual funds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Commodities warehouse receipts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and other assets segregated under federal and other regulations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1,010.6 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 be announced and forward settling securities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Deposits with and receivables from broker-dealers, clearing organizations and counterparties,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Receivables from clients, net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municipal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Commodities warehouse receipts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Exchange firm common stock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instruments owned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10,265.7 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Physical commodities inventory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Accounts payable and other accrued liabilities - contingent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Payables to clients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be announced and forward settling securities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Payable to broker-dealers, clearing organizations and counterparties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securities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municipal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instruments sold, not yet purchased</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at fair value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5,286.2 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cash collateral and the impact of netting across each level of the fair value hierarchy.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57"/>
        <w:gridCol w:w="1139"/>
        <w:gridCol w:w="1089"/>
        <w:gridCol w:w="196"/>
        <w:gridCol w:w="781"/>
        <w:gridCol w:w="109"/>
        <w:gridCol w:w="109"/>
        <w:gridCol w:w="109"/>
        <w:gridCol w:w="109"/>
        <w:gridCol w:w="196"/>
        <w:gridCol w:w="781"/>
        <w:gridCol w:w="109"/>
        <w:gridCol w:w="109"/>
        <w:gridCol w:w="109"/>
        <w:gridCol w:w="109"/>
        <w:gridCol w:w="196"/>
        <w:gridCol w:w="466"/>
        <w:gridCol w:w="109"/>
        <w:gridCol w:w="109"/>
        <w:gridCol w:w="109"/>
        <w:gridCol w:w="109"/>
        <w:gridCol w:w="196"/>
        <w:gridCol w:w="731"/>
        <w:gridCol w:w="109"/>
        <w:gridCol w:w="109"/>
        <w:gridCol w:w="109"/>
        <w:gridCol w:w="109"/>
        <w:gridCol w:w="196"/>
        <w:gridCol w:w="781"/>
        <w:gridCol w:w="156"/>
      </w:tblGrid>
      <w:tr>
        <w:trPr/>
        <w:tc>
          <w:tcPr>
            <w:tcW w:w="1557"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Netting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Certificates of deposit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mutual funds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Commodities warehouse receipts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and other assets segregated under federal and other regulations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be announced and forward settling securities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Deposits with and receivables from broker-dealers, clearing organizations and counterparties,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Receivables from clients, net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securities </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municipal bonds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Commodities warehouse receipts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Exchange firm common stock </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instruments owned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Physical commodities inventory</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 at fair value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16,631.6 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Liabilities: </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Accounts payable and other accrued liabilities - contingent liabilities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Payables to clients - Derivatives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be announced and forward settling securities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Payable to broker-dealers, clearing organizations and counterparties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securities </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and municipal bonds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obligations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obligations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flow hedges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3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instruments sold, not yet purchased</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liabilities at fair value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3,521.2 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(1)Represents cash collateral and the impact of netting across each level of the fair value hierarchy. </w:t>
      </w:r>
    </w:p>
    <w:p>
      <w:pPr>
        <w:pStyle w:val="TextBody"/>
        <w:bidi w:val="0"/>
        <w:spacing w:lineRule="auto" w:line="288" w:before="120" w:after="120"/>
        <w:jc w:val="left"/>
        <w:rPr/>
      </w:pPr>
      <w:r>
        <w:rPr>
          <w:rFonts w:ascii="Times New Roman;serif" w:hAnsi="Times New Roman;serif"/>
          <w:b w:val="false"/>
          <w:color w:val="000000"/>
          <w:sz w:val="20"/>
        </w:rPr>
        <w:t xml:space="preserve">Realized and unrealized gains and losses are included in </w:t>
      </w:r>
      <w:r>
        <w:rPr>
          <w:rFonts w:ascii="Times New Roman;serif" w:hAnsi="Times New Roman;serif"/>
          <w:b w:val="false"/>
          <w:i/>
          <w:color w:val="000000"/>
          <w:sz w:val="20"/>
        </w:rPr>
        <w:t>Principal gains, net</w:t>
      </w:r>
      <w:r>
        <w:rPr>
          <w:rFonts w:ascii="Times New Roman;serif" w:hAnsi="Times New Roman;serif"/>
          <w:b w:val="false"/>
          <w:color w:val="000000"/>
          <w:sz w:val="20"/>
        </w:rPr>
        <w:t xml:space="preserve">, </w:t>
      </w:r>
      <w:r>
        <w:rPr>
          <w:rFonts w:ascii="Times New Roman;serif" w:hAnsi="Times New Roman;serif"/>
          <w:b w:val="false"/>
          <w:i/>
          <w:color w:val="000000"/>
          <w:sz w:val="20"/>
        </w:rPr>
        <w:t>Interest income</w:t>
      </w:r>
      <w:r>
        <w:rPr>
          <w:rFonts w:ascii="Times New Roman;serif" w:hAnsi="Times New Roman;serif"/>
          <w:b w:val="false"/>
          <w:color w:val="000000"/>
          <w:sz w:val="20"/>
        </w:rPr>
        <w:t xml:space="preserve">, and </w:t>
      </w:r>
      <w:r>
        <w:rPr>
          <w:rFonts w:ascii="Times New Roman;serif" w:hAnsi="Times New Roman;serif"/>
          <w:b w:val="false"/>
          <w:i/>
          <w:color w:val="000000"/>
          <w:sz w:val="20"/>
        </w:rPr>
        <w:t>Cost of sales of physical commodities</w:t>
      </w:r>
      <w:r>
        <w:rPr>
          <w:color w:val="000000"/>
        </w:rPr>
        <w:t xml:space="preserve"> </w:t>
      </w:r>
      <w:r>
        <w:rPr>
          <w:rFonts w:ascii="Times New Roman;serif" w:hAnsi="Times New Roman;serif"/>
          <w:b w:val="false"/>
          <w:color w:val="000000"/>
          <w:sz w:val="20"/>
        </w:rPr>
        <w:t>in the Condensed Consolidated Income Statements.</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Additional disclosures about the fair value of financial instruments that are not carried on the Condensed Consolidated Balance Sheets at fair value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Many, but not all, of the financial instruments that the Company holds are recorded at fair value in the Condensed Consolidated Balance Sheets. The following represents financial instruments for which the ending balance at December 31, 2025 and September 30, 2025 was not carried at fair value on the Condensed Consolidated Balance Sheets in accordance with U.S. GAAP:</w:t>
      </w:r>
    </w:p>
    <w:p>
      <w:pPr>
        <w:pStyle w:val="TextBody"/>
        <w:bidi w:val="0"/>
        <w:spacing w:lineRule="auto" w:line="288" w:before="120" w:after="120"/>
        <w:jc w:val="left"/>
        <w:rPr/>
      </w:pPr>
      <w:r>
        <w:rPr>
          <w:rFonts w:ascii="Times New Roman;serif" w:hAnsi="Times New Roman;serif"/>
          <w:b w:val="false"/>
          <w:i/>
          <w:color w:val="000000"/>
          <w:sz w:val="20"/>
        </w:rPr>
        <w:t>Short-term financial instruments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The carrying value of short-term financial instruments, including cash and cash equivalents, cash segregated under federal and other regulations, securities purchased under agreements to resell and securities sold under agreements to repurchase, and securities borrowed and loaned are recorded at amounts that approximate the fair value of these instruments due to their short-term nature and level of collateralization. These financial instruments generally expose the Company to limited credit risk and have no stated maturities or have short-term maturities and carry interest rates that approximate market rates. Under the fair value hierarchy, cash and cash equivalents and cash segregated under federal and other regulations are classified as Level 1. Securities purchased under agreements to resell and securities sold under agreements to repurchase, and securities borrowed and loaned are classified as Level 2 under the fair value hierarchy as they are generally overnight, or short-term in nature, and are collateralized by equity securities, U.S. Treasury obligations, U.S. government agency obligations, agency mortgage-backed obligations, and asset-backed obligations. </w:t>
      </w:r>
    </w:p>
    <w:p>
      <w:pPr>
        <w:pStyle w:val="TextBody"/>
        <w:bidi w:val="0"/>
        <w:spacing w:lineRule="auto" w:line="288" w:before="0" w:after="0"/>
        <w:jc w:val="left"/>
        <w:rPr/>
      </w:pPr>
      <w:r>
        <w:rPr>
          <w:rFonts w:ascii="Times New Roman;serif" w:hAnsi="Times New Roman;serif"/>
          <w:b w:val="false"/>
          <w:i/>
          <w:color w:val="000000"/>
          <w:sz w:val="20"/>
        </w:rPr>
        <w:t>Receivables and other assets</w:t>
      </w:r>
      <w:r>
        <w:rPr>
          <w:rFonts w:ascii="Times New Roman;serif" w:hAnsi="Times New Roman;serif"/>
          <w:b w:val="false"/>
          <w:color w:val="000000"/>
          <w:sz w:val="20"/>
        </w:rPr>
        <w:t>: Receivables from broker-dealers, clearing organizations, and counterparties, receivables from clients, net, notes receivables and certain other assets are recorded at amounts that approximate fair value due to their short-term nature and are classified as Level 2 under the fair value hierarchy.</w:t>
      </w:r>
    </w:p>
    <w:p>
      <w:pPr>
        <w:pStyle w:val="TextBody"/>
        <w:bidi w:val="0"/>
        <w:spacing w:lineRule="auto" w:line="288" w:before="120" w:after="120"/>
        <w:jc w:val="left"/>
        <w:rPr/>
      </w:pPr>
      <w:r>
        <w:rPr>
          <w:rFonts w:ascii="Times New Roman;serif" w:hAnsi="Times New Roman;serif"/>
          <w:b w:val="false"/>
          <w:i/>
          <w:color w:val="000000"/>
          <w:sz w:val="20"/>
        </w:rPr>
        <w:t>Payables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Payables to clients and payables to broker-dealers, clearing organizations, and counterparties are recorded at amounts that approximate fair value due to their short-term nature and are classified as Level 2 under the fair value hierarchy.</w:t>
      </w:r>
    </w:p>
    <w:p>
      <w:pPr>
        <w:pStyle w:val="TextBody"/>
        <w:bidi w:val="0"/>
        <w:spacing w:lineRule="auto" w:line="288" w:before="120" w:after="120"/>
        <w:jc w:val="left"/>
        <w:rPr/>
      </w:pPr>
      <w:r>
        <w:rPr>
          <w:rFonts w:ascii="Times New Roman;serif" w:hAnsi="Times New Roman;serif"/>
          <w:b w:val="false"/>
          <w:i/>
          <w:color w:val="000000"/>
          <w:sz w:val="20"/>
        </w:rPr>
        <w:t>Lenders under loans</w:t>
      </w:r>
      <w:r>
        <w:rPr>
          <w:rFonts w:ascii="Times New Roman;serif" w:hAnsi="Times New Roman;serif"/>
          <w:b w:val="false"/>
          <w:color w:val="000000"/>
          <w:sz w:val="20"/>
        </w:rPr>
        <w:t xml:space="preserve">: Payables to lenders under loans carry variable rates of interest and thus approximate fair value and are classified as Level 2 under the fair value hierarchy. </w:t>
      </w:r>
    </w:p>
    <w:p>
      <w:pPr>
        <w:pStyle w:val="TextBody"/>
        <w:bidi w:val="0"/>
        <w:spacing w:lineRule="auto" w:line="288" w:before="120" w:after="180"/>
        <w:jc w:val="left"/>
        <w:rPr/>
      </w:pPr>
      <w:r>
        <w:rPr>
          <w:rFonts w:ascii="Times New Roman;serif" w:hAnsi="Times New Roman;serif"/>
          <w:b w:val="false"/>
          <w:i/>
          <w:color w:val="000000"/>
          <w:sz w:val="20"/>
        </w:rPr>
        <w:t>Senior secured borrowings, net</w:t>
      </w:r>
      <w:r>
        <w:rPr>
          <w:rFonts w:ascii="Times New Roman;serif" w:hAnsi="Times New Roman;serif"/>
          <w:b w:val="false"/>
          <w:color w:val="000000"/>
          <w:sz w:val="20"/>
        </w:rPr>
        <w:t xml:space="preserve">: Senior secured borrowings, net includes the Company's 7.875% Senior Secured Notes due 2031 (the “Notes due 2031”) and the Company’s 6.875% Senior Secured Notes due 2032 (the “Notes due 2032”), as further described in Note 9, with a carrying values of </w:t>
      </w:r>
      <w:r>
        <w:rPr>
          <w:rFonts w:ascii="Times New Roman;serif" w:hAnsi="Times New Roman;serif"/>
          <w:b w:val="false"/>
          <w:color w:val="000000"/>
          <w:sz w:val="20"/>
          <w:shd w:fill="FFFFFF" w:val="clear"/>
        </w:rPr>
        <w:t>$544.4 million and $615.2 million, respectively,</w:t>
      </w:r>
      <w:r>
        <w:rPr>
          <w:color w:val="000000"/>
        </w:rPr>
        <w:t xml:space="preserve"> </w:t>
      </w:r>
      <w:r>
        <w:rPr>
          <w:rFonts w:ascii="Times New Roman;serif" w:hAnsi="Times New Roman;serif"/>
          <w:b w:val="false"/>
          <w:color w:val="000000"/>
          <w:sz w:val="20"/>
        </w:rPr>
        <w:t xml:space="preserve">as of December 31, 2025. The carrying value of the Notes due 2031 and Notes due 2032 represent their principal amount net of unamortized deferred financing costs. As of December 31, 2025, the Notes due 2031 and Notes due 2032 had a fair value of </w:t>
      </w:r>
      <w:r>
        <w:rPr>
          <w:rFonts w:ascii="Times New Roman;serif" w:hAnsi="Times New Roman;serif"/>
          <w:b w:val="false"/>
          <w:color w:val="000000"/>
          <w:sz w:val="20"/>
          <w:shd w:fill="FFFFFF" w:val="clear"/>
        </w:rPr>
        <w:t>$583.6 million and $647.2 million, respectively. They</w:t>
      </w:r>
      <w:r>
        <w:rPr>
          <w:color w:val="000000"/>
        </w:rPr>
        <w:t xml:space="preserve"> </w:t>
      </w:r>
      <w:r>
        <w:rPr>
          <w:rFonts w:ascii="Times New Roman;serif" w:hAnsi="Times New Roman;serif"/>
          <w:b w:val="false"/>
          <w:color w:val="000000"/>
          <w:sz w:val="20"/>
        </w:rPr>
        <w:t xml:space="preserve">were classified as Level 2 under the fair value hierarchy.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4 – Financial Instruments with Off-Balance Sheet Risk and Concentrations of Credit Risk </w:t>
      </w:r>
    </w:p>
    <w:p>
      <w:pPr>
        <w:pStyle w:val="TextBody"/>
        <w:bidi w:val="0"/>
        <w:spacing w:lineRule="auto" w:line="288" w:before="120" w:after="120"/>
        <w:jc w:val="left"/>
        <w:rPr/>
      </w:pPr>
      <w:r>
        <w:rPr>
          <w:rFonts w:ascii="Times New Roman;serif" w:hAnsi="Times New Roman;serif"/>
          <w:b w:val="false"/>
          <w:color w:val="000000"/>
          <w:sz w:val="20"/>
        </w:rPr>
        <w:t xml:space="preserve">The Company is party to certain financial instruments with off-balance sheet risk in the normal course of its business. The Company has sold financial instruments that it does not currently own and will therefore be obliged to purchase such financial instruments at a future date. The Company has recorded these obligations in the condensed consolidated financial statements as of December 31, 2025 and September 30, 2025 at the fair values of the related financial instruments. The Company will incur losses if the fair value of the underlying financial instruments increases subsequent to December 31, 2025. The total </w:t>
      </w:r>
      <w:r>
        <w:rPr>
          <w:rFonts w:ascii="Times New Roman;serif" w:hAnsi="Times New Roman;serif"/>
          <w:b w:val="false"/>
          <w:i/>
          <w:color w:val="000000"/>
          <w:sz w:val="20"/>
        </w:rPr>
        <w:t>Financial instruments sold, not yet purchased</w:t>
      </w:r>
      <w:r>
        <w:rPr>
          <w:color w:val="000000"/>
        </w:rPr>
        <w:t xml:space="preserve"> </w:t>
      </w:r>
      <w:r>
        <w:rPr>
          <w:rFonts w:ascii="Times New Roman;serif" w:hAnsi="Times New Roman;serif"/>
          <w:b w:val="false"/>
          <w:color w:val="000000"/>
          <w:sz w:val="20"/>
        </w:rPr>
        <w:t>of $4,164.8 million and $2,919.8 million as of December 31, 2025 and September 30, 2025, respectively, includes $264.3 million and $297.3 million for derivative contracts not designated as hedges, respectively, which represented a liability to the Company based on their fair values as of December 31, 2025 and September 30,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120"/>
        <w:jc w:val="left"/>
        <w:rPr/>
      </w:pPr>
      <w:r>
        <w:rPr>
          <w:rFonts w:ascii="Times New Roman;serif" w:hAnsi="Times New Roman;serif"/>
          <w:b w:val="false"/>
          <w:color w:val="000000"/>
          <w:sz w:val="20"/>
        </w:rPr>
        <w:t xml:space="preserve">The Company utilizes derivative products in its trading capacity as a dealer in order to satisfy client needs and mitigate risk. The Company manages risks from both derivatives and non-derivative cash instruments on a consolidated basis. The risks of derivatives should not be viewed in isolation, but in aggregate with the Company’s other trading activities. The Company’s derivative positions are included in the Condensed Consolidated Balance Sheets in </w:t>
      </w:r>
      <w:r>
        <w:rPr>
          <w:rFonts w:ascii="Times New Roman;serif" w:hAnsi="Times New Roman;serif"/>
          <w:b w:val="false"/>
          <w:i/>
          <w:color w:val="000000"/>
          <w:sz w:val="20"/>
        </w:rPr>
        <w:t>Deposits with and receivables from broker-dealers, clearing organizations and counterparties,</w:t>
      </w:r>
      <w:r>
        <w:rPr>
          <w:color w:val="000000"/>
        </w:rPr>
        <w:t xml:space="preserve"> </w:t>
      </w:r>
      <w:r>
        <w:rPr>
          <w:rFonts w:ascii="Times New Roman;serif" w:hAnsi="Times New Roman;serif"/>
          <w:b w:val="false"/>
          <w:i/>
          <w:color w:val="000000"/>
          <w:sz w:val="20"/>
        </w:rPr>
        <w:t>Receivables from clients, net;</w:t>
      </w:r>
      <w:r>
        <w:rPr>
          <w:color w:val="000000"/>
        </w:rPr>
        <w:t xml:space="preserve"> </w:t>
      </w:r>
      <w:r>
        <w:rPr>
          <w:rFonts w:ascii="Times New Roman;serif" w:hAnsi="Times New Roman;serif"/>
          <w:b w:val="false"/>
          <w:i/>
          <w:color w:val="000000"/>
          <w:sz w:val="20"/>
        </w:rPr>
        <w:t>Financial instruments owned and sold, not yet purchased, at fair value,</w:t>
      </w:r>
      <w:r>
        <w:rPr>
          <w:color w:val="000000"/>
        </w:rPr>
        <w:t xml:space="preserve"> </w:t>
      </w:r>
      <w:r>
        <w:rPr>
          <w:rFonts w:ascii="Times New Roman;serif" w:hAnsi="Times New Roman;serif"/>
          <w:b w:val="false"/>
          <w:i/>
          <w:color w:val="000000"/>
          <w:sz w:val="20"/>
        </w:rPr>
        <w:t>Payable to clients,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Payables to broker-dealers, clearing organizations and counterparties</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Listed below are the fair values of the Company’s derivative assets and liabilities as of December 31, 2025 and September 30, 2025. Assets represent net unrealized gains and liabilities represent net unrealized losses.</w:t>
      </w:r>
    </w:p>
    <w:tbl>
      <w:tblPr>
        <w:tblW w:w="10205" w:type="dxa"/>
        <w:jc w:val="left"/>
        <w:tblInd w:w="0" w:type="dxa"/>
        <w:tblLayout w:type="fixed"/>
        <w:tblCellMar>
          <w:top w:w="28" w:type="dxa"/>
          <w:left w:w="28" w:type="dxa"/>
          <w:bottom w:w="28" w:type="dxa"/>
          <w:right w:w="28" w:type="dxa"/>
        </w:tblCellMar>
      </w:tblPr>
      <w:tblGrid>
        <w:gridCol w:w="2027"/>
        <w:gridCol w:w="1601"/>
        <w:gridCol w:w="1565"/>
        <w:gridCol w:w="196"/>
        <w:gridCol w:w="691"/>
        <w:gridCol w:w="109"/>
        <w:gridCol w:w="109"/>
        <w:gridCol w:w="109"/>
        <w:gridCol w:w="109"/>
        <w:gridCol w:w="196"/>
        <w:gridCol w:w="691"/>
        <w:gridCol w:w="109"/>
        <w:gridCol w:w="109"/>
        <w:gridCol w:w="109"/>
        <w:gridCol w:w="109"/>
        <w:gridCol w:w="196"/>
        <w:gridCol w:w="691"/>
        <w:gridCol w:w="109"/>
        <w:gridCol w:w="109"/>
        <w:gridCol w:w="109"/>
        <w:gridCol w:w="109"/>
        <w:gridCol w:w="196"/>
        <w:gridCol w:w="691"/>
        <w:gridCol w:w="156"/>
      </w:tblGrid>
      <w:tr>
        <w:trPr/>
        <w:tc>
          <w:tcPr>
            <w:tcW w:w="202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Assets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Liabilities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Assets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Liabilities </w:t>
            </w:r>
            <w:r>
              <w:rPr>
                <w:rFonts w:ascii="Times New Roman;serif" w:hAnsi="Times New Roman;serif"/>
                <w:b/>
                <w:color w:val="000000"/>
                <w:sz w:val="10"/>
              </w:rPr>
              <w:t>(1)</w:t>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contracts not accounted for as hedges: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Exchange-traded commodity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commodity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Exchange-traded foreign exchange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foreign exchange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Exchange-traded interest rate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interest rate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Exchange-traded equity index derivatives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equity and indices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 be announced (“TBA”) and forward settling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Subtotal</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 contracts designated as hedging instruments: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Subtotal</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fair value of derivative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8,461.7 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Impact of netting and collateral </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Deposits with and receivables from broker-dealers, clearing organizations, and counterparties, net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Receivable from clients,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Financial instruments owned, at fair value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Payables to clients</w:t>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Payables to broker-dealers, clearing organizations and counterparties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fair value included in </w:t>
            </w:r>
            <w:r>
              <w:rPr>
                <w:rFonts w:ascii="Times New Roman;serif" w:hAnsi="Times New Roman;serif"/>
                <w:b w:val="false"/>
                <w:i/>
                <w:color w:val="000000"/>
                <w:sz w:val="16"/>
              </w:rPr>
              <w:t>Financial instruments sold, not yet purchased, at fair value</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298.3 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(1)As of December 31, 2025 and September 30, 2025, the Company’s derivative contract volume for open positions was approximately 17.6 million and 19.2 million contracts,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derivative contracts are principally held in its Institutional, Commercial, and Self-Directed/Retail segments. The Company provides its Institutional segment clients access to exchanges at which they can carry out their trading strategies. The Company assists its Commercial segment clients in protecting the value of their future production by entering into option or forward agreements with them on an OTC basis. The Company also provides its Commercial segment clients with exchange products, including combinations of buying and selling puts and calls. In its Self-Directed/Retail segment, the Company provides its retail clients with access to spot foreign exchange, precious metals trading, as well as contracts for difference (“CFD”) and spread bets, where permitted. The Company mitigates its risk by generally offsetting the client’s transaction simultaneously with one of the Company’s trading counterparties or will offset that transaction with a similar but not identical position on the exchange. The risk mitigation of these offsetting trades is not within the documented hedging designation requirements of the Derivatives and Hedging Topic of the ASC. These derivative contracts are traded along with cash transactions because of the integrated nature of the markets for these products. The Company manages the risks associated with derivatives on an aggregate basis along with the risks associated with its proprietary trading and market-making activities in cash instruments as part of its firm-wide risk management policies. In particular, the risks related to derivative positions may be partially offset by inventory, other derivatives, or cash collateral paid or received.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Hedging Activities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foreign currency derivatives, in the form of forward contracts, to hedge risk related to the variability in exchange rates relative to certain of the Company’s non-USD expenditures. These hedges are designated cash flow hedges, through which the Company mitigates variability in exchange rates by exchanging foreign currency for USD at fixed exchange rates at a pre-determined future date, or several cash flows at several pre-determined future dates. While the forward contracts mitigate exchange rate variability risk, they do introduce credit risk, which is the possibility that the Company’s trading counterparty fails to meet its obligation. The Company minimizes this risk by entering into its forward contracts with highly-rated, multi-national institutions. These hedges will all mature within 2 years from the end of the current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uses interest rate derivatives, in the form of swaps, to hedge risk related to variability in overnight rates. These hedges are designated cash flow hedges, through which the Company mitigates uncertainty in its interest income by converting floating-rate interest income to fixed-rate interest income. While the swaps mitigate interest rate risk, they do introduce credit risk, which is the possibility that the Company’s trading counterparty fails to meet its obligation. The Company minimizes this risk by entering into its swaps with highly-rated, multi-national institutions. In addition to credit risk, there is market risk associated with the swap positions. The Company’s market risk is limited, because any amounts the Company must pay from having exchanged variable interest will be funded by the variable interest the Company receives on its deposits. These hedges will all mature within 2 years from the end of the current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assesses the effectiveness of its hedges at each reporting period to identify any required reclassifications into current earnings. During the three months ended December 31, 2025 and 2024, the Company did not designate any portion of its hedges as ineffective and thus did not have any values in current earnings related to ineffective hedges.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derivative instruments designated for hedging held as of December 31, 2025 and September 30, 2025 are as follows:</w:t>
      </w:r>
    </w:p>
    <w:tbl>
      <w:tblPr>
        <w:tblW w:w="10205" w:type="dxa"/>
        <w:jc w:val="left"/>
        <w:tblInd w:w="0" w:type="dxa"/>
        <w:tblLayout w:type="fixed"/>
        <w:tblCellMar>
          <w:top w:w="28" w:type="dxa"/>
          <w:left w:w="28" w:type="dxa"/>
          <w:bottom w:w="28" w:type="dxa"/>
          <w:right w:w="28" w:type="dxa"/>
        </w:tblCellMar>
      </w:tblPr>
      <w:tblGrid>
        <w:gridCol w:w="1764"/>
        <w:gridCol w:w="1478"/>
        <w:gridCol w:w="1473"/>
        <w:gridCol w:w="802"/>
        <w:gridCol w:w="741"/>
        <w:gridCol w:w="745"/>
        <w:gridCol w:w="109"/>
        <w:gridCol w:w="109"/>
        <w:gridCol w:w="109"/>
        <w:gridCol w:w="352"/>
        <w:gridCol w:w="678"/>
        <w:gridCol w:w="197"/>
        <w:gridCol w:w="109"/>
        <w:gridCol w:w="109"/>
        <w:gridCol w:w="109"/>
        <w:gridCol w:w="340"/>
        <w:gridCol w:w="706"/>
        <w:gridCol w:w="275"/>
      </w:tblGrid>
      <w:tr>
        <w:trPr/>
        <w:tc>
          <w:tcPr>
            <w:tcW w:w="1764"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 Derivatives</w:t>
            </w:r>
          </w:p>
        </w:tc>
        <w:tc>
          <w:tcPr>
            <w:tcW w:w="22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Financial instruments owned,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Financial instruments owned,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derivatives designated as hedging instruments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Derivative assets expected to be released from </w:t>
            </w:r>
            <w:r>
              <w:rPr>
                <w:rFonts w:ascii="Times New Roman;serif" w:hAnsi="Times New Roman;serif"/>
                <w:b w:val="false"/>
                <w:i/>
                <w:color w:val="000000"/>
                <w:sz w:val="16"/>
              </w:rPr>
              <w:t>Other comprehensive income</w:t>
            </w:r>
            <w:r>
              <w:rPr>
                <w:color w:val="000000"/>
              </w:rPr>
              <w:t xml:space="preserve"> </w:t>
            </w:r>
            <w:r>
              <w:rPr>
                <w:rFonts w:ascii="Times New Roman;serif" w:hAnsi="Times New Roman;serif"/>
                <w:b w:val="false"/>
                <w:color w:val="000000"/>
                <w:sz w:val="16"/>
              </w:rPr>
              <w:t>into current earnings: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expected to be released from </w:t>
            </w:r>
            <w:r>
              <w:rPr>
                <w:rFonts w:ascii="Times New Roman;serif" w:hAnsi="Times New Roman;serif"/>
                <w:b w:val="false"/>
                <w:i/>
                <w:color w:val="000000"/>
                <w:sz w:val="16"/>
              </w:rPr>
              <w:t>Other comprehensive income</w:t>
            </w:r>
            <w:r>
              <w:rPr>
                <w:color w:val="000000"/>
              </w:rPr>
              <w:t xml:space="preserve"> </w:t>
            </w:r>
            <w:r>
              <w:rPr>
                <w:rFonts w:ascii="Times New Roman;serif" w:hAnsi="Times New Roman;serif"/>
                <w:b w:val="false"/>
                <w:color w:val="000000"/>
                <w:sz w:val="16"/>
              </w:rPr>
              <w:t>into earnings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Liability Derivatives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2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2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Financial instruments sold, not yet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derivatives designated as hedging instruments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Derivative liabilities expected to be released from </w:t>
            </w:r>
            <w:r>
              <w:rPr>
                <w:rFonts w:ascii="Times New Roman;serif" w:hAnsi="Times New Roman;serif"/>
                <w:b w:val="false"/>
                <w:i/>
                <w:color w:val="000000"/>
                <w:sz w:val="16"/>
              </w:rPr>
              <w:t>Other comprehensive income</w:t>
            </w:r>
            <w:r>
              <w:rPr>
                <w:color w:val="000000"/>
              </w:rPr>
              <w:t xml:space="preserve"> </w:t>
            </w:r>
            <w:r>
              <w:rPr>
                <w:rFonts w:ascii="Times New Roman;serif" w:hAnsi="Times New Roman;serif"/>
                <w:b w:val="false"/>
                <w:color w:val="000000"/>
                <w:sz w:val="16"/>
              </w:rPr>
              <w:t>into current earnings: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2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5"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r>
      <w:tr>
        <w:trPr/>
        <w:tc>
          <w:tcPr>
            <w:tcW w:w="4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Total expected to be released from </w:t>
            </w:r>
            <w:r>
              <w:rPr>
                <w:rFonts w:ascii="Times New Roman;serif" w:hAnsi="Times New Roman;serif"/>
                <w:b w:val="false"/>
                <w:i/>
                <w:color w:val="000000"/>
                <w:sz w:val="16"/>
              </w:rPr>
              <w:t>Other comprehensive income</w:t>
            </w:r>
            <w:r>
              <w:rPr>
                <w:color w:val="000000"/>
              </w:rPr>
              <w:t xml:space="preserve"> </w:t>
            </w:r>
            <w:r>
              <w:rPr>
                <w:rFonts w:ascii="Times New Roman;serif" w:hAnsi="Times New Roman;serif"/>
                <w:b w:val="false"/>
                <w:color w:val="000000"/>
                <w:sz w:val="16"/>
              </w:rPr>
              <w:t>into earnings</w:t>
            </w:r>
          </w:p>
        </w:tc>
        <w:tc>
          <w:tcPr>
            <w:tcW w:w="2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notional values of derivative instruments designated for hedging held as of December 31, 2025 and September 30, 2025 are as follows:</w:t>
      </w:r>
    </w:p>
    <w:tbl>
      <w:tblPr>
        <w:tblW w:w="8783" w:type="dxa"/>
        <w:jc w:val="left"/>
        <w:tblInd w:w="0" w:type="dxa"/>
        <w:tblLayout w:type="fixed"/>
        <w:tblCellMar>
          <w:top w:w="28" w:type="dxa"/>
          <w:left w:w="28" w:type="dxa"/>
          <w:bottom w:w="28" w:type="dxa"/>
          <w:right w:w="28" w:type="dxa"/>
        </w:tblCellMar>
      </w:tblPr>
      <w:tblGrid>
        <w:gridCol w:w="1826"/>
        <w:gridCol w:w="1604"/>
        <w:gridCol w:w="1610"/>
        <w:gridCol w:w="109"/>
        <w:gridCol w:w="109"/>
        <w:gridCol w:w="109"/>
        <w:gridCol w:w="330"/>
        <w:gridCol w:w="1010"/>
        <w:gridCol w:w="159"/>
        <w:gridCol w:w="109"/>
        <w:gridCol w:w="109"/>
        <w:gridCol w:w="109"/>
        <w:gridCol w:w="384"/>
        <w:gridCol w:w="945"/>
        <w:gridCol w:w="261"/>
      </w:tblGrid>
      <w:tr>
        <w:trPr/>
        <w:tc>
          <w:tcPr>
            <w:tcW w:w="1826"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Value</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designated as 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 to purchase Polish Zloty: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Local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zł</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zł</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 to purchase British Pound Sterling: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Local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Condensed Consolidated Income Statement effects of derivative instruments designated for hedging held for the three months ended December 31, 2025 and 2024 are as follows: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69"/>
        <w:gridCol w:w="1375"/>
        <w:gridCol w:w="1386"/>
        <w:gridCol w:w="581"/>
        <w:gridCol w:w="399"/>
        <w:gridCol w:w="400"/>
        <w:gridCol w:w="109"/>
        <w:gridCol w:w="109"/>
        <w:gridCol w:w="109"/>
        <w:gridCol w:w="401"/>
        <w:gridCol w:w="832"/>
        <w:gridCol w:w="226"/>
        <w:gridCol w:w="109"/>
        <w:gridCol w:w="109"/>
        <w:gridCol w:w="109"/>
        <w:gridCol w:w="401"/>
        <w:gridCol w:w="832"/>
        <w:gridCol w:w="226"/>
        <w:gridCol w:w="109"/>
        <w:gridCol w:w="109"/>
        <w:gridCol w:w="109"/>
        <w:gridCol w:w="109"/>
        <w:gridCol w:w="109"/>
        <w:gridCol w:w="109"/>
        <w:gridCol w:w="109"/>
        <w:gridCol w:w="160"/>
      </w:tblGrid>
      <w:tr>
        <w:trPr/>
        <w:tc>
          <w:tcPr>
            <w:tcW w:w="156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Statement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gridSpan w:val="6"/>
            <w:tcBorders/>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amounts of gain/(loss) reclassified from Accumulated Other Comprehensive Income into Income:</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derivatives designated as hedging instruments</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Amount of gain reclassified from accumulated other comprehensive income into income as a result of a forecasted transaction that is no longer probable of occurring</w:t>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33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accumulated other comprehensive income effects of derivative instruments designated for hedging held for three months ended December 31, 2025 and 2024 are as follows:</w:t>
      </w:r>
    </w:p>
    <w:tbl>
      <w:tblPr>
        <w:tblW w:w="10205" w:type="dxa"/>
        <w:jc w:val="left"/>
        <w:tblInd w:w="0" w:type="dxa"/>
        <w:tblLayout w:type="fixed"/>
        <w:tblCellMar>
          <w:top w:w="28" w:type="dxa"/>
          <w:left w:w="28" w:type="dxa"/>
          <w:bottom w:w="28" w:type="dxa"/>
          <w:right w:w="28" w:type="dxa"/>
        </w:tblCellMar>
      </w:tblPr>
      <w:tblGrid>
        <w:gridCol w:w="1230"/>
        <w:gridCol w:w="1078"/>
        <w:gridCol w:w="1091"/>
        <w:gridCol w:w="742"/>
        <w:gridCol w:w="1673"/>
        <w:gridCol w:w="404"/>
        <w:gridCol w:w="372"/>
        <w:gridCol w:w="372"/>
        <w:gridCol w:w="372"/>
        <w:gridCol w:w="712"/>
        <w:gridCol w:w="1604"/>
        <w:gridCol w:w="555"/>
      </w:tblGrid>
      <w:tr>
        <w:trPr/>
        <w:tc>
          <w:tcPr>
            <w:tcW w:w="123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3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of (Loss)/Gain Recognized in Other Comprehensive Income on Derivatives, net of tax</w:t>
            </w:r>
          </w:p>
        </w:tc>
      </w:tr>
      <w:tr>
        <w:trPr/>
        <w:tc>
          <w:tcPr>
            <w:tcW w:w="3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2025</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2024</w:t>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Derivatives in Cash Flow Hedging Relationships:</w:t>
            </w:r>
          </w:p>
        </w:tc>
        <w:tc>
          <w:tcPr>
            <w:tcW w:w="2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contracts</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forward contracts</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5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987" w:type="dxa"/>
            <w:gridSpan w:val="6"/>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3987" w:type="dxa"/>
            <w:gridSpan w:val="6"/>
            <w:tcBorders/>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r>
        <w:trPr/>
        <w:tc>
          <w:tcPr>
            <w:tcW w:w="3399" w:type="dxa"/>
            <w:gridSpan w:val="3"/>
            <w:tcBorders/>
            <w:vAlign w:val="center"/>
          </w:tcPr>
          <w:p>
            <w:pPr>
              <w:pStyle w:val="TableContents"/>
              <w:bidi w:val="0"/>
              <w:spacing w:before="0" w:after="283"/>
              <w:jc w:val="left"/>
              <w:rPr>
                <w:sz w:val="4"/>
                <w:szCs w:val="4"/>
              </w:rPr>
            </w:pPr>
            <w:r>
              <w:rPr>
                <w:sz w:val="4"/>
                <w:szCs w:val="4"/>
              </w:rPr>
            </w:r>
          </w:p>
        </w:tc>
        <w:tc>
          <w:tcPr>
            <w:tcW w:w="28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28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The following table sets forth the Company’s net gains/(losses) related to derivative financial instruments for the three months ended December 31, 2025 and 2024 in accordance with the Derivatives and Hedging Topic of the ASC. The net gains/(losses) set forth below are included in </w:t>
      </w:r>
      <w:r>
        <w:rPr>
          <w:rFonts w:ascii="Times New Roman;serif" w:hAnsi="Times New Roman;serif"/>
          <w:b w:val="false"/>
          <w:i/>
          <w:color w:val="000000"/>
          <w:sz w:val="20"/>
        </w:rPr>
        <w:t>Principal gains, net</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Cost of sales of physical commodities</w:t>
      </w:r>
      <w:r>
        <w:rPr>
          <w:color w:val="000000"/>
        </w:rPr>
        <w:t xml:space="preserve"> </w:t>
      </w:r>
      <w:r>
        <w:rPr>
          <w:rFonts w:ascii="Times New Roman;serif" w:hAnsi="Times New Roman;serif"/>
          <w:b w:val="false"/>
          <w:color w:val="000000"/>
          <w:sz w:val="20"/>
        </w:rPr>
        <w:t>in the Condensed Consolidated Income Statements.</w:t>
      </w:r>
    </w:p>
    <w:tbl>
      <w:tblPr>
        <w:tblW w:w="5336" w:type="dxa"/>
        <w:jc w:val="center"/>
        <w:tblInd w:w="0" w:type="dxa"/>
        <w:tblLayout w:type="fixed"/>
        <w:tblCellMar>
          <w:top w:w="28" w:type="dxa"/>
          <w:left w:w="28" w:type="dxa"/>
          <w:bottom w:w="28" w:type="dxa"/>
          <w:right w:w="28" w:type="dxa"/>
        </w:tblCellMar>
      </w:tblPr>
      <w:tblGrid>
        <w:gridCol w:w="962"/>
        <w:gridCol w:w="844"/>
        <w:gridCol w:w="849"/>
        <w:gridCol w:w="251"/>
        <w:gridCol w:w="713"/>
        <w:gridCol w:w="139"/>
        <w:gridCol w:w="139"/>
        <w:gridCol w:w="139"/>
        <w:gridCol w:w="139"/>
        <w:gridCol w:w="251"/>
        <w:gridCol w:w="713"/>
        <w:gridCol w:w="197"/>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Interest rate, equities, and indices </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TBA and forward settling securities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from derivative contracts</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Credit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purchases and sells financial instruments, commodities and foreign currencies as either a principal or agent on behalf of its clients. If either the client or counterparty fails to perform, the Company may be required to discharge the obligations of the nonperforming party. In such circumstances, the Company may sustain a loss if the fair value of the financial instrument, commodity, or foreign currency is different from the contract value of the transaction.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majority of the Company’s transactions and, consequently, the concentration of its credit exposure are with commodity exchanges, clients, broker-dealers and other financial institutions. These activities primarily involve collateralized and uncollateralized arrangements and may result in credit exposure in the event that a counterparty fails to meet its contractual obligations. The Company’s exposure to credit risk can be directly impacted by volatile financial markets, which may impair counterparties’ ability to satisfy contractual obligations. The Company seeks to control its credit risk through a variety of reporting and control procedures, including establishing credit and/or position limits based upon a review of the counterparties’ financial condition and credit ratings. The Company monitors collateral levels on a daily basis for compliance with regulatory and internal guidelines and requests changes in collateral levels as appropriate.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a party to financial instruments in the normal course of its business through client and proprietary trading accounts in exchange-traded and OTC derivative instruments. These instruments are primarily the result of the execution of orders for commodity futures, options on futures, OTC swaps and options and spot and forward foreign currency contracts on behalf of its clients, substantially all of which are transacted on a margin basis. Such transactions may expose the Company to significant credit risk in the event that margin requirements are not sufficient to fully cover losses which clients may incur. The Company controls the risks associated with these transactions by requiring clients to maintain margin deposits in compliance with individual exchange regulations and internal guidelines. The Company monitors required margin levels daily, and therefore, may require clients to deposit additional collateral or reduce positions when necessary. The Company also establishes credit limits for clients, which are monitored daily. The Company evaluates each client’s creditworthiness on a case-by-case basis. Clearing, financing, and settlement activities may require the Company to maintain funds with or pledge securities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collateral with other financial institutions. Generally, these exposures to both clients and exchanges are subject to master netting, or client agreements, which reduce the exposure to the Company by permitting receivables and payables with such clients to be offset in the event of a client default. Management believes that the margin deposits held as of December 31, 2025 and September 30, 2025 were adequate to minimize the risk of material loss that could be created by positions held at that time. Additionally, the Company monitors collateral fair value on a daily basis and adjusts collateral levels in the event of excess market exposure.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the Company’s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The Company attempts to manage its exposure to market risk through various techniques. Aggregate market limits have been established and market risk measures are routinely monitored against these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5 – Allowance for Doubtful Accounts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doubtful accounts related to receivables from clients was $54.8 million and $53.9 million as of December 31, 2025 and September 30, 2025, respectively.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Activity in the allowance for doubtful accounts for the three months ended December 31, 2025 was as follows:</w:t>
      </w:r>
    </w:p>
    <w:tbl>
      <w:tblPr>
        <w:tblW w:w="10205" w:type="dxa"/>
        <w:jc w:val="left"/>
        <w:tblInd w:w="0" w:type="dxa"/>
        <w:tblLayout w:type="fixed"/>
        <w:tblCellMar>
          <w:top w:w="28" w:type="dxa"/>
          <w:left w:w="28" w:type="dxa"/>
          <w:bottom w:w="28" w:type="dxa"/>
          <w:right w:w="28" w:type="dxa"/>
        </w:tblCellMar>
      </w:tblPr>
      <w:tblGrid>
        <w:gridCol w:w="3461"/>
        <w:gridCol w:w="2973"/>
        <w:gridCol w:w="2954"/>
        <w:gridCol w:w="196"/>
        <w:gridCol w:w="466"/>
        <w:gridCol w:w="155"/>
      </w:tblGrid>
      <w:tr>
        <w:trPr/>
        <w:tc>
          <w:tcPr>
            <w:tcW w:w="3461"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3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Provision for bad debts</w:t>
            </w:r>
            <w:r>
              <w:rPr>
                <w:rFonts w:ascii="Times New Roman;serif" w:hAnsi="Times New Roman;serif"/>
                <w:b w:val="false"/>
                <w:color w:val="000000"/>
                <w:sz w:val="12"/>
              </w:rPr>
              <w:t>(1)</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charge-offs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9388"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r>
      <w:tr>
        <w:trPr/>
        <w:tc>
          <w:tcPr>
            <w:tcW w:w="9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$(0.4) million is included in bad debt expense for the quarter ended December 31, 2025 on the Condensed Consolidated Income Statements, which is not included in the allowance.</w:t>
            </w:r>
          </w:p>
        </w:tc>
        <w:tc>
          <w:tcPr>
            <w:tcW w:w="8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6 – Physical Commodities Inventory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inventories consist of physical commodities as shown below:</w:t>
      </w:r>
    </w:p>
    <w:tbl>
      <w:tblPr>
        <w:tblW w:w="9175" w:type="dxa"/>
        <w:jc w:val="left"/>
        <w:tblInd w:w="0" w:type="dxa"/>
        <w:tblLayout w:type="fixed"/>
        <w:tblCellMar>
          <w:top w:w="28" w:type="dxa"/>
          <w:left w:w="28" w:type="dxa"/>
          <w:bottom w:w="28" w:type="dxa"/>
          <w:right w:w="28" w:type="dxa"/>
        </w:tblCellMar>
      </w:tblPr>
      <w:tblGrid>
        <w:gridCol w:w="2212"/>
        <w:gridCol w:w="1943"/>
        <w:gridCol w:w="1952"/>
        <w:gridCol w:w="306"/>
        <w:gridCol w:w="1082"/>
        <w:gridCol w:w="169"/>
        <w:gridCol w:w="109"/>
        <w:gridCol w:w="109"/>
        <w:gridCol w:w="109"/>
        <w:gridCol w:w="256"/>
        <w:gridCol w:w="727"/>
        <w:gridCol w:w="201"/>
      </w:tblGrid>
      <w:tr>
        <w:trPr/>
        <w:tc>
          <w:tcPr>
            <w:tcW w:w="2212"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Physical Ag &amp; Energy</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Precious metals - held by broker-dealer subsidiary</w:t>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Precious metals - held by non-broker-dealer subsidiaries</w:t>
            </w:r>
            <w:r>
              <w:rPr>
                <w:rFonts w:ascii="Times New Roman;serif" w:hAnsi="Times New Roman;serif"/>
                <w:b w:val="false"/>
                <w:color w:val="000000"/>
                <w:sz w:val="12"/>
              </w:rPr>
              <w:t xml:space="preserve">(1) </w:t>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Physical commodities inventory, net</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917.5 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Includes raw materials of $24.4 million and work in process of $115.3 million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left"/>
        <w:rPr/>
      </w:pPr>
      <w:r>
        <w:rPr>
          <w:rFonts w:ascii="Times New Roman;serif" w:hAnsi="Times New Roman;serif"/>
          <w:b w:val="false"/>
          <w:color w:val="000000"/>
          <w:sz w:val="20"/>
        </w:rPr>
        <w:t xml:space="preserve">Physical Ag &amp; Energy consists of agricultural commodity inventories, including corn, soybeans, wheat, dried distillers grain, canola, sorghum, coffee, cocoa, cotton, and various energy commodity inventories. Agricultural inventories have reliable, readily determinable and realizable market prices, have relatively insignificant costs of disposal and are available for immediate delivery. The Company records changes to these values in </w:t>
      </w:r>
      <w:r>
        <w:rPr>
          <w:rFonts w:ascii="Times New Roman;serif" w:hAnsi="Times New Roman;serif"/>
          <w:b w:val="false"/>
          <w:i/>
          <w:color w:val="000000"/>
          <w:sz w:val="20"/>
        </w:rPr>
        <w:t>Cost of sales of physical commodities</w:t>
      </w:r>
      <w:r>
        <w:rPr>
          <w:color w:val="000000"/>
        </w:rPr>
        <w:t xml:space="preserve"> </w:t>
      </w:r>
      <w:r>
        <w:rPr>
          <w:rFonts w:ascii="Times New Roman;serif" w:hAnsi="Times New Roman;serif"/>
          <w:b w:val="false"/>
          <w:color w:val="000000"/>
          <w:sz w:val="20"/>
        </w:rPr>
        <w:t>on the Condensed Consolidated Income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7 – Goodwill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Goodwill allocated to the Company’s operating segments is as follows:</w:t>
      </w:r>
    </w:p>
    <w:tbl>
      <w:tblPr>
        <w:tblW w:w="4165" w:type="dxa"/>
        <w:jc w:val="left"/>
        <w:tblInd w:w="0" w:type="dxa"/>
        <w:tblLayout w:type="fixed"/>
        <w:tblCellMar>
          <w:top w:w="28" w:type="dxa"/>
          <w:left w:w="28" w:type="dxa"/>
          <w:bottom w:w="28" w:type="dxa"/>
          <w:right w:w="28" w:type="dxa"/>
        </w:tblCellMar>
      </w:tblPr>
      <w:tblGrid>
        <w:gridCol w:w="563"/>
        <w:gridCol w:w="494"/>
        <w:gridCol w:w="503"/>
        <w:gridCol w:w="249"/>
        <w:gridCol w:w="707"/>
        <w:gridCol w:w="138"/>
        <w:gridCol w:w="109"/>
        <w:gridCol w:w="109"/>
        <w:gridCol w:w="109"/>
        <w:gridCol w:w="256"/>
        <w:gridCol w:w="727"/>
        <w:gridCol w:w="201"/>
      </w:tblGrid>
      <w:tr>
        <w:trPr/>
        <w:tc>
          <w:tcPr>
            <w:tcW w:w="56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Commercial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Institutional </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Self-Directed/Retail </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left"/>
        <w:rPr>
          <w:rFonts w:ascii="Times New Roman;serif" w:hAnsi="Times New Roman;serif"/>
          <w:b w:val="false"/>
          <w:color w:val="000000"/>
          <w:sz w:val="20"/>
        </w:rPr>
      </w:pPr>
      <w:r>
        <w:rPr>
          <w:rFonts w:ascii="Times New Roman;serif" w:hAnsi="Times New Roman;serif"/>
          <w:b w:val="false"/>
          <w:color w:val="000000"/>
          <w:sz w:val="20"/>
        </w:rPr>
        <w:t>The Company recorded additional goodwill during the quarter ended December 31, 2025 related to the purchase price allocation for the following acquisitions, as further discussed in Note 17 (in millions):</w:t>
      </w:r>
    </w:p>
    <w:tbl>
      <w:tblPr>
        <w:tblW w:w="4455" w:type="dxa"/>
        <w:jc w:val="left"/>
        <w:tblInd w:w="0" w:type="dxa"/>
        <w:tblLayout w:type="fixed"/>
        <w:tblCellMar>
          <w:top w:w="28" w:type="dxa"/>
          <w:left w:w="28" w:type="dxa"/>
          <w:bottom w:w="28" w:type="dxa"/>
          <w:right w:w="28" w:type="dxa"/>
        </w:tblCellMar>
      </w:tblPr>
      <w:tblGrid>
        <w:gridCol w:w="630"/>
        <w:gridCol w:w="553"/>
        <w:gridCol w:w="557"/>
        <w:gridCol w:w="634"/>
        <w:gridCol w:w="634"/>
        <w:gridCol w:w="636"/>
        <w:gridCol w:w="218"/>
        <w:gridCol w:w="420"/>
        <w:gridCol w:w="173"/>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w:t>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Reportable Segment</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Intercam</w:t>
            </w:r>
          </w:p>
        </w:tc>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Self-Directed/Retail</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Plantureux et Associés</w:t>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 Recorded</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8 – Intangible Assets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gross and net carrying values of intangible assets as of the balance sheet dates, by major intangible asset class are as follows (in millions):</w:t>
      </w:r>
    </w:p>
    <w:tbl>
      <w:tblPr>
        <w:tblW w:w="10205" w:type="dxa"/>
        <w:jc w:val="left"/>
        <w:tblInd w:w="0" w:type="dxa"/>
        <w:tblLayout w:type="fixed"/>
        <w:tblCellMar>
          <w:top w:w="28" w:type="dxa"/>
          <w:left w:w="28" w:type="dxa"/>
          <w:bottom w:w="28" w:type="dxa"/>
          <w:right w:w="28" w:type="dxa"/>
        </w:tblCellMar>
      </w:tblPr>
      <w:tblGrid>
        <w:gridCol w:w="749"/>
        <w:gridCol w:w="657"/>
        <w:gridCol w:w="662"/>
        <w:gridCol w:w="263"/>
        <w:gridCol w:w="746"/>
        <w:gridCol w:w="147"/>
        <w:gridCol w:w="109"/>
        <w:gridCol w:w="109"/>
        <w:gridCol w:w="109"/>
        <w:gridCol w:w="269"/>
        <w:gridCol w:w="661"/>
        <w:gridCol w:w="151"/>
        <w:gridCol w:w="109"/>
        <w:gridCol w:w="109"/>
        <w:gridCol w:w="109"/>
        <w:gridCol w:w="225"/>
        <w:gridCol w:w="639"/>
        <w:gridCol w:w="127"/>
        <w:gridCol w:w="109"/>
        <w:gridCol w:w="109"/>
        <w:gridCol w:w="109"/>
        <w:gridCol w:w="263"/>
        <w:gridCol w:w="746"/>
        <w:gridCol w:w="147"/>
        <w:gridCol w:w="109"/>
        <w:gridCol w:w="109"/>
        <w:gridCol w:w="109"/>
        <w:gridCol w:w="269"/>
        <w:gridCol w:w="661"/>
        <w:gridCol w:w="151"/>
        <w:gridCol w:w="109"/>
        <w:gridCol w:w="109"/>
        <w:gridCol w:w="109"/>
        <w:gridCol w:w="224"/>
        <w:gridCol w:w="635"/>
        <w:gridCol w:w="178"/>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0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w:t>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Intangible assets subject to amortization</w:t>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Trade/domain names and other licenses</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Software programs/platforms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Client and supplier base</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 subject to amortization</w:t>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Intangible assets not subject to amortization</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Website domains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licenses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 not subject to amortization</w:t>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483.1 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jc w:val="left"/>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$8.2 million and $1.1 million for the three months ended December 31, 2025 and 2024, respectively.</w:t>
      </w:r>
    </w:p>
    <w:p>
      <w:pPr>
        <w:pStyle w:val="TextBody"/>
        <w:bidi w:val="0"/>
        <w:spacing w:before="20" w:after="20"/>
        <w:jc w:val="left"/>
        <w:rPr/>
      </w:pPr>
      <w:r>
        <w:rPr/>
      </w:r>
    </w:p>
    <w:p>
      <w:pPr>
        <w:pStyle w:val="TextBody"/>
        <w:bidi w:val="0"/>
        <w:spacing w:lineRule="auto" w:line="288" w:before="20" w:after="20"/>
        <w:jc w:val="left"/>
        <w:rPr>
          <w:rFonts w:ascii="Times New Roman;serif" w:hAnsi="Times New Roman;serif"/>
          <w:b w:val="false"/>
          <w:color w:val="000000"/>
          <w:sz w:val="20"/>
        </w:rPr>
      </w:pPr>
      <w:r>
        <w:rPr>
          <w:rFonts w:ascii="Times New Roman;serif" w:hAnsi="Times New Roman;serif"/>
          <w:b w:val="false"/>
          <w:color w:val="000000"/>
          <w:sz w:val="20"/>
        </w:rPr>
        <w:t>The Company wrote off $4.6 million of fully amortized intangible assets during the three months ended December 31, 2025.</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As of December 31, 2025, estimated future amortization expense was as follows:</w:t>
      </w:r>
    </w:p>
    <w:tbl>
      <w:tblPr>
        <w:tblW w:w="4160" w:type="dxa"/>
        <w:jc w:val="left"/>
        <w:tblInd w:w="0" w:type="dxa"/>
        <w:tblLayout w:type="fixed"/>
        <w:tblCellMar>
          <w:top w:w="28" w:type="dxa"/>
          <w:left w:w="28" w:type="dxa"/>
          <w:bottom w:w="28" w:type="dxa"/>
          <w:right w:w="28" w:type="dxa"/>
        </w:tblCellMar>
      </w:tblPr>
      <w:tblGrid>
        <w:gridCol w:w="1179"/>
        <w:gridCol w:w="1036"/>
        <w:gridCol w:w="1039"/>
        <w:gridCol w:w="196"/>
        <w:gridCol w:w="55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2026 (remaining months)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2027</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2028</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2029</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Fiscal 2030 and 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intangible assets subject to amortization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9 – Credit Facilities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Committed Credit Facilities</w:t>
      </w:r>
    </w:p>
    <w:p>
      <w:pPr>
        <w:pStyle w:val="TextBody"/>
        <w:bidi w:val="0"/>
        <w:spacing w:lineRule="auto" w:line="288" w:before="120" w:after="120"/>
        <w:jc w:val="left"/>
        <w:rPr/>
      </w:pPr>
      <w:r>
        <w:rPr>
          <w:rFonts w:ascii="Times New Roman;serif" w:hAnsi="Times New Roman;serif"/>
          <w:b w:val="false"/>
          <w:color w:val="000000"/>
          <w:sz w:val="20"/>
        </w:rPr>
        <w:t xml:space="preserve">The Company and its subsidiaries have committed credit facilities under which they may borrow up to </w:t>
      </w:r>
      <w:r>
        <w:rPr>
          <w:rFonts w:ascii="Times New Roman;serif" w:hAnsi="Times New Roman;serif"/>
          <w:b w:val="false"/>
          <w:color w:val="000000"/>
          <w:sz w:val="20"/>
          <w:shd w:fill="FFFFFF" w:val="clear"/>
        </w:rPr>
        <w:t>$1,685.0 million</w:t>
      </w:r>
      <w:r>
        <w:rPr>
          <w:rFonts w:ascii="Times New Roman;serif" w:hAnsi="Times New Roman;serif"/>
          <w:b w:val="false"/>
          <w:color w:val="000000"/>
          <w:sz w:val="20"/>
        </w:rPr>
        <w:t>, subject to the terms and conditions of these facilities. The amounts outstanding under these credit facilities carry variable rates of interest, thus approximating fair value. The committed credit facilities generally have covenant requirements that relate to various leverage, debt to net worth, fixed charge, tangible net worth, excess net capital, or profitability measures. The Company and its subsidiaries were in compliance with all relevant covenants as of December 31, 2025.</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Uncommitted Credit Facilities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access to certain uncommitted financing agreements that support its ordinary course securities and commodities inventories. The agreements are subject to certain borrowing terms and conditions.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Subordinated Credit Facility</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subsidiary, R.J. O’Brien &amp; Associates, LLC, has a subordinated credit facility which allows it to borrow up to $180.0 million. As of December 31, 2025, the outstanding tranches of borrowings mature at various dates through July 14, 2026. The facility matures in April 2027, at which point no further draws can be made. The subordinated credit facility complies with the applicable regulatory requirements, and the borrowings are available for computing net capital under the CFTC’s net capital rule for R.J. O’Brien &amp; Associates, LLC.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Note Payable to Bank</w:t>
      </w:r>
    </w:p>
    <w:p>
      <w:pPr>
        <w:pStyle w:val="TextBody"/>
        <w:bidi w:val="0"/>
        <w:spacing w:lineRule="auto" w:line="288" w:before="120" w:after="120"/>
        <w:jc w:val="left"/>
        <w:rPr/>
      </w:pPr>
      <w:r>
        <w:rPr>
          <w:rFonts w:ascii="Times New Roman;serif" w:hAnsi="Times New Roman;serif"/>
          <w:b w:val="false"/>
          <w:color w:val="000000"/>
          <w:sz w:val="20"/>
        </w:rPr>
        <w:t xml:space="preserve">The Company had a note payable to a commercial bank related to the financing of certain equipment which secured the note. </w:t>
      </w:r>
      <w:r>
        <w:rPr>
          <w:rFonts w:ascii="Times New Roman;serif" w:hAnsi="Times New Roman;serif"/>
          <w:b w:val="false"/>
          <w:color w:val="000000"/>
          <w:sz w:val="20"/>
          <w:shd w:fill="FFFFFF" w:val="clear"/>
        </w:rPr>
        <w:t>The note matured on December 1, 2025 and was fully paid off, with final payment of $6.3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Senior Secured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March 1, 2024, the Company issued $550.0 million in aggregate principal amount of its 7.875% Notes due 2031 at the offering price of 100% of the aggregate principal amount. The Notes due 2031 are fully and unconditionally guaranteed, jointly and severally, on a senior secured second lien basis by each of the Company’s existing and future subsidiaries that guarantee indebtedness under the Company’s senior secured revolving credit facility and certain other senior indebtedness. Interest related to these notes is payable twice annually, in arrears. The Company incurred debt issuance costs of $7.7 million, which are being amortized over the term of the Notes due 2031 under the effective interest method.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July 8, 2025, the Company issued $625.0 million in aggregate principal amount of its 6.875% Notes due 2032, in connection with the acquisition of R.J. O’Brien, at the offering price of 100% of the aggregate principal amount. The Notes due 2032 are fully and unconditionally guaranteed, jointly and severally, on a senior secured second lien basis by each of the Company’s existing and future subsidiaries that guarantee indebtedness under the Company’s senior secured revolving credit facility and certain other senior indebtedness. Interest related to these notes is payable twice annually, in arrears. The Company incurred debt issuance costs of $10.5 million, which are being amortized over the term of the Notes due 2032 under the effective interest method.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listing of credit facilities, the current committed amounts as of the report date on the facilities, and outstanding (in millions, except for percentages):</w:t>
      </w:r>
    </w:p>
    <w:tbl>
      <w:tblPr>
        <w:tblW w:w="10205" w:type="dxa"/>
        <w:jc w:val="left"/>
        <w:tblInd w:w="0" w:type="dxa"/>
        <w:tblLayout w:type="fixed"/>
        <w:tblCellMar>
          <w:top w:w="28" w:type="dxa"/>
          <w:left w:w="28" w:type="dxa"/>
          <w:bottom w:w="28" w:type="dxa"/>
          <w:right w:w="28" w:type="dxa"/>
        </w:tblCellMar>
      </w:tblPr>
      <w:tblGrid>
        <w:gridCol w:w="188"/>
        <w:gridCol w:w="165"/>
        <w:gridCol w:w="165"/>
        <w:gridCol w:w="1039"/>
        <w:gridCol w:w="871"/>
        <w:gridCol w:w="884"/>
        <w:gridCol w:w="383"/>
        <w:gridCol w:w="338"/>
        <w:gridCol w:w="321"/>
        <w:gridCol w:w="426"/>
        <w:gridCol w:w="426"/>
        <w:gridCol w:w="427"/>
        <w:gridCol w:w="109"/>
        <w:gridCol w:w="109"/>
        <w:gridCol w:w="109"/>
        <w:gridCol w:w="237"/>
        <w:gridCol w:w="842"/>
        <w:gridCol w:w="134"/>
        <w:gridCol w:w="109"/>
        <w:gridCol w:w="109"/>
        <w:gridCol w:w="109"/>
        <w:gridCol w:w="233"/>
        <w:gridCol w:w="822"/>
        <w:gridCol w:w="129"/>
        <w:gridCol w:w="139"/>
        <w:gridCol w:w="139"/>
        <w:gridCol w:w="139"/>
        <w:gridCol w:w="206"/>
        <w:gridCol w:w="727"/>
        <w:gridCol w:w="171"/>
      </w:tblGrid>
      <w:tr>
        <w:trPr/>
        <w:tc>
          <w:tcPr>
            <w:tcW w:w="18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3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 Outstanding</w:t>
            </w:r>
          </w:p>
        </w:tc>
      </w:tr>
      <w:tr>
        <w:trPr/>
        <w:tc>
          <w:tcPr>
            <w:tcW w:w="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Borrower</w:t>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 xml:space="preserve">Security </w:t>
            </w:r>
          </w:p>
        </w:tc>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Renewal/Expiration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2025</w:t>
            </w:r>
          </w:p>
        </w:tc>
      </w:tr>
      <w:tr>
        <w:trPr/>
        <w:tc>
          <w:tcPr>
            <w:tcW w:w="33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Committed Credit Facilities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StoneX Group Inc. Committed Credit Facility - Revolving Line of Credit</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June 3,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R.J. O'Brien &amp; Associates, LLC Subordinated Credit Facility</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None</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April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StoneX Financial Inc. </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None</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27,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(6)</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Commodity Solutions LLC</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Certain assets</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Company LLC</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Certain assets</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StoneX Financial Ltd. </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None</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Financial Pte. Ltd.</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None</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September 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1,685.0 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vAlign w:val="center"/>
          </w:tcPr>
          <w:p>
            <w:pPr>
              <w:pStyle w:val="TableContents"/>
              <w:bidi w:val="0"/>
              <w:spacing w:before="0" w:after="283"/>
              <w:jc w:val="left"/>
              <w:rPr>
                <w:sz w:val="4"/>
                <w:szCs w:val="4"/>
              </w:rPr>
            </w:pPr>
            <w:r>
              <w:rPr>
                <w:sz w:val="4"/>
                <w:szCs w:val="4"/>
              </w:rPr>
            </w:r>
          </w:p>
        </w:tc>
        <w:tc>
          <w:tcPr>
            <w:tcW w:w="2794"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1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Uncommitted Credit Facilities</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Note Payable to Bank</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Certain equipment</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Secured Notes due 2031</w:t>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March 1,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(3),(4)</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Senior Secured Notes due 2032</w:t>
            </w:r>
          </w:p>
        </w:tc>
        <w:tc>
          <w:tcPr>
            <w:tcW w:w="10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w:t>
            </w:r>
          </w:p>
        </w:tc>
        <w:tc>
          <w:tcPr>
            <w:tcW w:w="1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July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(3),(4)</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614.9 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outstanding borrowings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(1) The StoneX Group Inc. senior committed credit facility is a revolving facility secured by substantially all of the assets of StoneX Group Inc. and certain subsidiaries identified in the credit facility agreement as obligors, and pledged equity of certain subsidiaries identified in the credit facility as limited guarantors. </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(2) The Notes and the related guarantees are secured by liens on substantially all of the Company’s and the guarantors’ assets, subject to certain customary and other exceptions and permitted liens. The liens on the assets that secure the Notes and the related guarantees are contractually subordinated to the liens on the assets that secure the Company’s and the guarantors’ existing and future first lien secured indebtedness, including indebtedness under the Company’s senior committed credit facility.</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(3) Amounts outstanding under the Notes due 2031 are reported net of unamortized deferred financing costs of $5.6 million and $5.9 million, in the respective periods presented. Amounts outstanding under the Notes due 2032 are reported net of unamortized deferred financing costs of $9.8 million and $10.1 million, in the respective periods presented.</w:t>
      </w:r>
    </w:p>
    <w:p>
      <w:pPr>
        <w:pStyle w:val="TextBody"/>
        <w:bidi w:val="0"/>
        <w:spacing w:lineRule="auto" w:line="288" w:before="0" w:after="120"/>
        <w:jc w:val="left"/>
        <w:rPr/>
      </w:pPr>
      <w:r>
        <w:rPr>
          <w:rFonts w:ascii="Times New Roman;serif" w:hAnsi="Times New Roman;serif"/>
          <w:b w:val="false"/>
          <w:color w:val="000000"/>
          <w:sz w:val="16"/>
        </w:rPr>
        <w:t xml:space="preserve">(4) Included in </w:t>
      </w:r>
      <w:r>
        <w:rPr>
          <w:rFonts w:ascii="Times New Roman;serif" w:hAnsi="Times New Roman;serif"/>
          <w:b w:val="false"/>
          <w:i/>
          <w:color w:val="000000"/>
          <w:sz w:val="16"/>
        </w:rPr>
        <w:t>Senior secured borrowings, net</w:t>
      </w:r>
      <w:r>
        <w:rPr>
          <w:color w:val="000000"/>
        </w:rPr>
        <w:t xml:space="preserve"> </w:t>
      </w:r>
      <w:r>
        <w:rPr>
          <w:rFonts w:ascii="Times New Roman;serif" w:hAnsi="Times New Roman;serif"/>
          <w:b w:val="false"/>
          <w:color w:val="000000"/>
          <w:sz w:val="16"/>
        </w:rPr>
        <w:t>on the Condensed Consolidated Balance Sheets</w:t>
      </w:r>
      <w:r>
        <w:rPr>
          <w:rFonts w:ascii="Times New Roman;serif" w:hAnsi="Times New Roman;serif"/>
          <w:b w:val="false"/>
          <w:i/>
          <w:color w:val="000000"/>
          <w:sz w:val="16"/>
        </w:rPr>
        <w:t>.</w:t>
      </w:r>
    </w:p>
    <w:p>
      <w:pPr>
        <w:pStyle w:val="TextBody"/>
        <w:bidi w:val="0"/>
        <w:spacing w:lineRule="auto" w:line="288" w:before="0" w:after="120"/>
        <w:jc w:val="left"/>
        <w:rPr/>
      </w:pPr>
      <w:r>
        <w:rPr>
          <w:rFonts w:ascii="Times New Roman;serif" w:hAnsi="Times New Roman;serif"/>
          <w:b w:val="false"/>
          <w:color w:val="000000"/>
          <w:sz w:val="16"/>
        </w:rPr>
        <w:t xml:space="preserve">(5) Included in </w:t>
      </w:r>
      <w:r>
        <w:rPr>
          <w:rFonts w:ascii="Times New Roman;serif" w:hAnsi="Times New Roman;serif"/>
          <w:b w:val="false"/>
          <w:i/>
          <w:color w:val="000000"/>
          <w:sz w:val="16"/>
        </w:rPr>
        <w:t>Payables to Lenders under loans</w:t>
      </w:r>
      <w:r>
        <w:rPr>
          <w:color w:val="000000"/>
        </w:rPr>
        <w:t xml:space="preserve"> </w:t>
      </w:r>
      <w:r>
        <w:rPr>
          <w:rFonts w:ascii="Times New Roman;serif" w:hAnsi="Times New Roman;serif"/>
          <w:b w:val="false"/>
          <w:color w:val="000000"/>
          <w:sz w:val="16"/>
        </w:rPr>
        <w:t>on the Condensed Consolidated Balance Sheets</w:t>
      </w:r>
      <w:r>
        <w:rPr>
          <w:rFonts w:ascii="Times New Roman;serif" w:hAnsi="Times New Roman;serif"/>
          <w:b w:val="false"/>
          <w:i/>
          <w:color w:val="000000"/>
          <w:sz w:val="16"/>
        </w:rPr>
        <w:t>.</w:t>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(6) R.J. O’Brien &amp; Associates, LLC may borrow up to $50.0 million as part of the total commitment.</w:t>
      </w:r>
    </w:p>
    <w:p>
      <w:pPr>
        <w:pStyle w:val="TextBody"/>
        <w:bidi w:val="0"/>
        <w:spacing w:lineRule="auto" w:line="288" w:before="120" w:after="120"/>
        <w:jc w:val="left"/>
        <w:rPr/>
      </w:pPr>
      <w:r>
        <w:rPr>
          <w:rFonts w:ascii="Times New Roman;serif" w:hAnsi="Times New Roman;serif"/>
          <w:b w:val="false"/>
          <w:color w:val="000000"/>
          <w:sz w:val="20"/>
          <w:shd w:fill="FFFFFF" w:val="clear"/>
        </w:rPr>
        <w:t>As reflected above, certain of the Company’s committed credit facilities are scheduled to expire during the next twelve months following the quarterly period ended December 31, 2025.</w:t>
      </w:r>
      <w:r>
        <w:rPr>
          <w:color w:val="000000"/>
        </w:rPr>
        <w:t xml:space="preserve"> </w:t>
      </w:r>
      <w:r>
        <w:rPr>
          <w:rFonts w:ascii="Times New Roman;serif" w:hAnsi="Times New Roman;serif"/>
          <w:b w:val="false"/>
          <w:color w:val="000000"/>
          <w:sz w:val="20"/>
        </w:rPr>
        <w:t>The</w:t>
      </w:r>
      <w:r>
        <w:rPr>
          <w:color w:val="000000"/>
          <w:shd w:fill="FFFFFF" w:val="clear"/>
        </w:rPr>
        <w:t xml:space="preserve"> </w:t>
      </w:r>
      <w:r>
        <w:rPr>
          <w:rFonts w:ascii="Times New Roman;serif" w:hAnsi="Times New Roman;serif"/>
          <w:b w:val="false"/>
          <w:color w:val="000000"/>
          <w:sz w:val="20"/>
          <w:shd w:fill="FFFFFF" w:val="clear"/>
        </w:rPr>
        <w:t>Company intends to renew or replace these facilities as they expire, and based on the Company’s liquidity position and capital structure, the Company believes it will be able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10 – Securities and Commodity Financing Transactions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repurchase agreements and securities borrowing and lending arrangements are generally recorded at cost in the Condensed Consolidated Balance Sheets, which is a reasonable approximation of their fair values due to their short-term nature. Secured borrowing and lending arrangements are entered into to obtain collateral necessary to effect settlement, finance inventory positions, meet customer needs or re-lend as part of our dealer operations. The fair value of securities loaned and borrowed is monitored daily compared with the related payable or receivable, and additional collateral or returning excess collateral is requested, as appropriate. These arrangements may serve to limit credit risk resulting from transactions with counterparties. Financial instruments are pledged as collateral under repurchase agreements, securities lending agreements and other secured arrangements, including clearing arrangements. Agreements with counterparties generally contain contractual provisions allowing counterparties the right to sell or repledge collateral. Either the Company or its counterparties may require additional collateral. All collateral is held by the Company or a custodian.</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carrying value of repurchase agreements, and securities lending agreements by remaining contractual maturity (in millions): </w:t>
      </w:r>
    </w:p>
    <w:tbl>
      <w:tblPr>
        <w:tblW w:w="10205" w:type="dxa"/>
        <w:jc w:val="left"/>
        <w:tblInd w:w="0" w:type="dxa"/>
        <w:tblLayout w:type="fixed"/>
        <w:tblCellMar>
          <w:top w:w="28" w:type="dxa"/>
          <w:left w:w="28" w:type="dxa"/>
          <w:bottom w:w="28" w:type="dxa"/>
          <w:right w:w="28" w:type="dxa"/>
        </w:tblCellMar>
      </w:tblPr>
      <w:tblGrid>
        <w:gridCol w:w="1069"/>
        <w:gridCol w:w="940"/>
        <w:gridCol w:w="944"/>
        <w:gridCol w:w="272"/>
        <w:gridCol w:w="1086"/>
        <w:gridCol w:w="151"/>
        <w:gridCol w:w="109"/>
        <w:gridCol w:w="109"/>
        <w:gridCol w:w="109"/>
        <w:gridCol w:w="262"/>
        <w:gridCol w:w="926"/>
        <w:gridCol w:w="145"/>
        <w:gridCol w:w="109"/>
        <w:gridCol w:w="109"/>
        <w:gridCol w:w="109"/>
        <w:gridCol w:w="208"/>
        <w:gridCol w:w="592"/>
        <w:gridCol w:w="115"/>
        <w:gridCol w:w="109"/>
        <w:gridCol w:w="109"/>
        <w:gridCol w:w="109"/>
        <w:gridCol w:w="266"/>
        <w:gridCol w:w="634"/>
        <w:gridCol w:w="148"/>
        <w:gridCol w:w="109"/>
        <w:gridCol w:w="109"/>
        <w:gridCol w:w="109"/>
        <w:gridCol w:w="196"/>
        <w:gridCol w:w="781"/>
        <w:gridCol w:w="162"/>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Open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Securities sold under agreements to repurchase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24,931.0 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 of secured financing</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27,143.3 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6,724.4 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9"/>
        <w:gridCol w:w="940"/>
        <w:gridCol w:w="944"/>
        <w:gridCol w:w="272"/>
        <w:gridCol w:w="1086"/>
        <w:gridCol w:w="151"/>
        <w:gridCol w:w="109"/>
        <w:gridCol w:w="109"/>
        <w:gridCol w:w="109"/>
        <w:gridCol w:w="262"/>
        <w:gridCol w:w="926"/>
        <w:gridCol w:w="145"/>
        <w:gridCol w:w="109"/>
        <w:gridCol w:w="109"/>
        <w:gridCol w:w="109"/>
        <w:gridCol w:w="208"/>
        <w:gridCol w:w="592"/>
        <w:gridCol w:w="115"/>
        <w:gridCol w:w="109"/>
        <w:gridCol w:w="109"/>
        <w:gridCol w:w="109"/>
        <w:gridCol w:w="266"/>
        <w:gridCol w:w="634"/>
        <w:gridCol w:w="148"/>
        <w:gridCol w:w="109"/>
        <w:gridCol w:w="109"/>
        <w:gridCol w:w="109"/>
        <w:gridCol w:w="196"/>
        <w:gridCol w:w="781"/>
        <w:gridCol w:w="162"/>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Overnight and Open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30-90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Over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Securities sold under agreements to repurchase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26,173.4 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13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 of secured financing</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28,724.2 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3,128.5 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41.4 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Offsetting of Collateralized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carrying value of repurchase agreements and securities lending agreements by class of collateral pledged (in millions): </w:t>
      </w:r>
    </w:p>
    <w:tbl>
      <w:tblPr>
        <w:tblW w:w="7569" w:type="dxa"/>
        <w:jc w:val="left"/>
        <w:tblInd w:w="0" w:type="dxa"/>
        <w:tblLayout w:type="fixed"/>
        <w:tblCellMar>
          <w:top w:w="28" w:type="dxa"/>
          <w:left w:w="28" w:type="dxa"/>
          <w:bottom w:w="28" w:type="dxa"/>
          <w:right w:w="28" w:type="dxa"/>
        </w:tblCellMar>
      </w:tblPr>
      <w:tblGrid>
        <w:gridCol w:w="1502"/>
        <w:gridCol w:w="1322"/>
        <w:gridCol w:w="1330"/>
        <w:gridCol w:w="270"/>
        <w:gridCol w:w="1079"/>
        <w:gridCol w:w="150"/>
        <w:gridCol w:w="109"/>
        <w:gridCol w:w="109"/>
        <w:gridCol w:w="109"/>
        <w:gridCol w:w="275"/>
        <w:gridCol w:w="1098"/>
        <w:gridCol w:w="216"/>
      </w:tblGrid>
      <w:tr>
        <w:trPr/>
        <w:tc>
          <w:tcPr>
            <w:tcW w:w="150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Securities sold under agreements to repurchase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Treasury obligations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18,893.3 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19,311.9 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government agency obligations and municipal bonds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 obligations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Agency mortgage-backed obligations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government obligations</w:t>
            </w:r>
          </w:p>
        </w:tc>
        <w:tc>
          <w:tcPr>
            <w:tcW w:w="13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bonds</w:t>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1,462.6 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securities sold under agreement to repurchase</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31,772.2 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29,523.7 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Securities loaned</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Equity securities </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securities loaned</w:t>
            </w:r>
          </w:p>
        </w:tc>
        <w:tc>
          <w:tcPr>
            <w:tcW w:w="13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amount of secured financing</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33,984.5 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32,074.5 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76" w:before="2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netting of securities purchased under agreements to resell, securities sold under agreements to repurchase, securities borrowed and securities loaned as of the periods indicated (in millions):</w:t>
      </w:r>
    </w:p>
    <w:tbl>
      <w:tblPr>
        <w:tblW w:w="10205" w:type="dxa"/>
        <w:jc w:val="left"/>
        <w:tblInd w:w="0" w:type="dxa"/>
        <w:tblLayout w:type="fixed"/>
        <w:tblCellMar>
          <w:top w:w="28" w:type="dxa"/>
          <w:left w:w="28" w:type="dxa"/>
          <w:bottom w:w="28" w:type="dxa"/>
          <w:right w:w="28" w:type="dxa"/>
        </w:tblCellMar>
      </w:tblPr>
      <w:tblGrid>
        <w:gridCol w:w="791"/>
        <w:gridCol w:w="695"/>
        <w:gridCol w:w="697"/>
        <w:gridCol w:w="281"/>
        <w:gridCol w:w="1122"/>
        <w:gridCol w:w="156"/>
        <w:gridCol w:w="109"/>
        <w:gridCol w:w="109"/>
        <w:gridCol w:w="109"/>
        <w:gridCol w:w="471"/>
        <w:gridCol w:w="2029"/>
        <w:gridCol w:w="262"/>
        <w:gridCol w:w="109"/>
        <w:gridCol w:w="109"/>
        <w:gridCol w:w="109"/>
        <w:gridCol w:w="527"/>
        <w:gridCol w:w="2101"/>
        <w:gridCol w:w="419"/>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Offsetting of collateralized transactions: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Amounts Offset in the Condensed Consolidated Balance Sheet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 the Condensed Consolidated Balance Sheet</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(15,771.3)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13,414.5 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2,381.8 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31,772.2 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(15,771.3)</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16,000.9 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2,212.3 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91"/>
        <w:gridCol w:w="695"/>
        <w:gridCol w:w="697"/>
        <w:gridCol w:w="281"/>
        <w:gridCol w:w="1122"/>
        <w:gridCol w:w="156"/>
        <w:gridCol w:w="109"/>
        <w:gridCol w:w="109"/>
        <w:gridCol w:w="109"/>
        <w:gridCol w:w="471"/>
        <w:gridCol w:w="2029"/>
        <w:gridCol w:w="262"/>
        <w:gridCol w:w="109"/>
        <w:gridCol w:w="109"/>
        <w:gridCol w:w="109"/>
        <w:gridCol w:w="527"/>
        <w:gridCol w:w="2101"/>
        <w:gridCol w:w="419"/>
      </w:tblGrid>
      <w:tr>
        <w:trPr/>
        <w:tc>
          <w:tcPr>
            <w:tcW w:w="79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Offsetting of collateralized transactions:</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Amounts Recognized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Amounts Offset in the Condensed Consolidated Balance Sheet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Amounts Presented in the Condensed Consolidated Balance Sheet</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purchased under agreements to resell</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26,298.1 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(15,972.7)</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10,325.4 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borrowed</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2,743.1 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sold under agreements to repurchase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29,523.7 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(15,972.7)</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13,551.0 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loaned</w:t>
            </w:r>
          </w:p>
        </w:tc>
        <w:tc>
          <w:tcPr>
            <w:tcW w:w="28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02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1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2,550.8 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pledges securities owned as collateral in both tri-party and bilateral arrangements. Pledged securities under tri-party arrangements may not be repledged or sold by the Company’s counterparties, whereas bilaterally pledged securities may be. The approximate fair value of pledged securities that can be sold or repledged by the Company’s counterparties has been parenthetically disclosed on the Condensed Consolidated Balance Sheets.</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The Company receives securities as collateral under reverse repurchase agreements, securities borrowed agreements, and margin securities held on behalf of counterparties. This collateral is used by the Company to cover financial instruments sold, not yet purchased; to obtain financing in the form of repurchase agreements; and to meet counterparties’ needs under lending arrangements and matched-book trading strategies. Additional securities collateral is obtained as necessary to ensure such transactions are adequately collateralized. In many instances, the Company is permitted by contract to repledge the securities received as collateral, which may include pledges to cover collateral requirements for tri-party repurchase agreements.</w:t>
      </w:r>
    </w:p>
    <w:p>
      <w:pPr>
        <w:pStyle w:val="TextBody"/>
        <w:bidi w:val="0"/>
        <w:spacing w:lineRule="auto" w:line="26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fair values, which approximate carrying value because of the short-term nature of collateral pledged, received and repledged (in millions):</w:t>
      </w:r>
    </w:p>
    <w:tbl>
      <w:tblPr>
        <w:tblW w:w="10205" w:type="dxa"/>
        <w:jc w:val="left"/>
        <w:tblInd w:w="0" w:type="dxa"/>
        <w:tblLayout w:type="fixed"/>
        <w:tblCellMar>
          <w:top w:w="28" w:type="dxa"/>
          <w:left w:w="28" w:type="dxa"/>
          <w:bottom w:w="28" w:type="dxa"/>
          <w:right w:w="28" w:type="dxa"/>
        </w:tblCellMar>
      </w:tblPr>
      <w:tblGrid>
        <w:gridCol w:w="2558"/>
        <w:gridCol w:w="2243"/>
        <w:gridCol w:w="2256"/>
        <w:gridCol w:w="247"/>
        <w:gridCol w:w="987"/>
        <w:gridCol w:w="137"/>
        <w:gridCol w:w="109"/>
        <w:gridCol w:w="109"/>
        <w:gridCol w:w="109"/>
        <w:gridCol w:w="250"/>
        <w:gridCol w:w="1000"/>
        <w:gridCol w:w="200"/>
      </w:tblGrid>
      <w:tr>
        <w:trPr/>
        <w:tc>
          <w:tcPr>
            <w:tcW w:w="2558"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0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pledged or repledged to cover collateral requirements for tri-party arrangements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11,065.6 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9,757.7 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pledged as collateral that are subject to segregation rules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received as collateral that may be repledged</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34,746.0 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32,452.0 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received as collateral that are subject to segregation rules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received as collateral that may be repledged covering securities sold short</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1,965.1 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Repledged securities borrowed and client securities held under custodial clearing arrangements to collateralize securities loaned agreements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2,080.2 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 11 – Commitments and Contingencies</w:t>
      </w:r>
    </w:p>
    <w:p>
      <w:pPr>
        <w:pStyle w:val="TextBody"/>
        <w:bidi w:val="0"/>
        <w:spacing w:lineRule="auto" w:line="268" w:before="120" w:after="12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and in the ordinary course of business, the Company is involved in various legal actions and proceedings, including tort claims, contractual disputes, employment matters and workers’ compensation claims. The Company carries insurance that provides protection against certain types of claims, up to the limits of the respective policy. Additionally, the Company is subject to extensive regulation and supervision by U.S. federal and international governmental agencies and various self-regulatory organizations. The Company and its advisors periodically engage with such regulatory agencies and organizations, in the context of examinations or otherwise, to respond to inquiries, informational requests, and investigations. From time to time, such engagements result in regulatory complaints or other matters, the resolution of which can include fines and other remediation.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2023, BTIG filed a civil complaint (the “BTIG complaint”) against the Company and StoneX Financial Inc. in San Francisco Superior Court (CGC-23-610525) seeking monetary damages and injunctive relief for, among other things, alleged theft of purported trade secrets by former BTIG employees later employed at StoneX. The proceedings have moved to FINRA Arbitration and the court action is stayed. The evidentiary hearing has concluded. The matter remains pending before the FINRA panel and a decision has not yet been issued. The Company continues to vigorously defend itself. The Company received from the U.S. Department of Justice (the “DOJ”) and the SEC subpoenas that the Company believes are related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conduct alleged in the BTIG complaint, and the Company is cooperating with these agencies. The ultimate outcomes of the BTIG complaint and the DOJ and SEC subpoenas cannot presently be determined.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September 30, 2025, the Condensed Consolidated Balance Sheets include loss contingency accruals which are not material, individually or in the aggregate, to the Company’s financial position or liquidity. Management does not currently believe exposure from loss contingencies in excess of the amounts accrued, to be material to the Company’s earnings, financial position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12 – Accumulated Other Comprehensive Loss, Net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consists of gains and losses affecting stockholders’ equity that, under U.S. GAAP, are excluded from net income. Other comprehensive income includes net actuarial losses from defined benefit pension plans, foreign currency translation adjustments, and cash flow hedge gains or losses. See Note 4 for additional information on cash flow hedges.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accumulated other comprehensive loss, net for the three months ended December 31, 2025.</w:t>
      </w:r>
    </w:p>
    <w:tbl>
      <w:tblPr>
        <w:tblW w:w="10205" w:type="dxa"/>
        <w:jc w:val="left"/>
        <w:tblInd w:w="0" w:type="dxa"/>
        <w:tblLayout w:type="fixed"/>
        <w:tblCellMar>
          <w:top w:w="28" w:type="dxa"/>
          <w:left w:w="28" w:type="dxa"/>
          <w:bottom w:w="28" w:type="dxa"/>
          <w:right w:w="28" w:type="dxa"/>
        </w:tblCellMar>
      </w:tblPr>
      <w:tblGrid>
        <w:gridCol w:w="805"/>
        <w:gridCol w:w="547"/>
        <w:gridCol w:w="511"/>
        <w:gridCol w:w="109"/>
        <w:gridCol w:w="109"/>
        <w:gridCol w:w="109"/>
        <w:gridCol w:w="499"/>
        <w:gridCol w:w="1228"/>
        <w:gridCol w:w="282"/>
        <w:gridCol w:w="109"/>
        <w:gridCol w:w="109"/>
        <w:gridCol w:w="109"/>
        <w:gridCol w:w="431"/>
        <w:gridCol w:w="861"/>
        <w:gridCol w:w="241"/>
        <w:gridCol w:w="109"/>
        <w:gridCol w:w="109"/>
        <w:gridCol w:w="109"/>
        <w:gridCol w:w="289"/>
        <w:gridCol w:w="556"/>
        <w:gridCol w:w="161"/>
        <w:gridCol w:w="109"/>
        <w:gridCol w:w="109"/>
        <w:gridCol w:w="109"/>
        <w:gridCol w:w="109"/>
        <w:gridCol w:w="109"/>
        <w:gridCol w:w="532"/>
        <w:gridCol w:w="1308"/>
        <w:gridCol w:w="428"/>
      </w:tblGrid>
      <w:tr>
        <w:trPr/>
        <w:tc>
          <w:tcPr>
            <w:tcW w:w="805"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Foreign Currency Translation 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Pension Benefits 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Flow Hedge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net</w:t>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13 – Revenue from Contracts with Clients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revenue earned from contracts with clients for services such as the execution, clearing, brokering, and custody of futures and options on futures contracts, OTC derivatives, and securities, investment management, and underwriting services in accordance FASB ASC 606, Revenues from Contracts with Customers (“Topic 606”). Revenues for these services are recognized when the performance obligations related to the underlying transaction are completed.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recognized when control of the promised goods or services are transferred to clients, in an amount that reflects the consideration the Company expects to be entitled to in exchange for those goods or services. Revenues are analyzed to determine whether the Company is the principal (i.e., reports revenue on a gross basis) or agent (i.e., reports revenues on a net basis) in the contract. Principal or agent designations depend primarily on the control an entity has over the good or service before control is transferred to a client. The indicators of which party exercises control include primary responsibility over performance obligations, inventory risk before the good or service is transferred, and discretion in establishing the price. </w:t>
      </w:r>
    </w:p>
    <w:p>
      <w:pPr>
        <w:pStyle w:val="TextBody"/>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Topic 606 does not apply to revenues associated with dealing, or market-making, activities in financial instruments or contracts in the capacity of a principal, including derivative sales contracts which result in physical settlement and interest income.</w:t>
      </w:r>
    </w:p>
    <w:p>
      <w:pPr>
        <w:pStyle w:val="TextBody"/>
        <w:bidi w:val="0"/>
        <w:spacing w:lineRule="auto" w:line="288" w:before="0" w:after="160"/>
        <w:jc w:val="left"/>
        <w:rPr/>
      </w:pPr>
      <w:r>
        <w:rPr>
          <w:rFonts w:ascii="Times New Roman;serif" w:hAnsi="Times New Roman;serif"/>
          <w:b w:val="false"/>
          <w:color w:val="000000"/>
          <w:sz w:val="20"/>
        </w:rPr>
        <w:t xml:space="preserve">Revenues within the scope of Topic 606 are presented within </w:t>
      </w:r>
      <w:r>
        <w:rPr>
          <w:rFonts w:ascii="Times New Roman;serif" w:hAnsi="Times New Roman;serif"/>
          <w:b w:val="false"/>
          <w:i/>
          <w:color w:val="000000"/>
          <w:sz w:val="20"/>
        </w:rPr>
        <w:t>Commission and clearing fees</w:t>
      </w:r>
      <w:r>
        <w:rPr>
          <w:rFonts w:ascii="Times New Roman;serif" w:hAnsi="Times New Roman;serif"/>
          <w:b w:val="false"/>
          <w:color w:val="000000"/>
          <w:sz w:val="20"/>
        </w:rPr>
        <w:t xml:space="preserve">, </w:t>
      </w:r>
      <w:r>
        <w:rPr>
          <w:rFonts w:ascii="Times New Roman;serif" w:hAnsi="Times New Roman;serif"/>
          <w:b w:val="false"/>
          <w:i/>
          <w:color w:val="000000"/>
          <w:sz w:val="20"/>
        </w:rPr>
        <w:t>Consulting, management, and account fees,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Sales of physical commodities</w:t>
      </w:r>
      <w:r>
        <w:rPr>
          <w:color w:val="000000"/>
        </w:rPr>
        <w:t xml:space="preserve"> </w:t>
      </w:r>
      <w:r>
        <w:rPr>
          <w:rFonts w:ascii="Times New Roman;serif" w:hAnsi="Times New Roman;serif"/>
          <w:b w:val="false"/>
          <w:color w:val="000000"/>
          <w:sz w:val="20"/>
        </w:rPr>
        <w:t xml:space="preserve">on the Condensed Consolidated Income Statements. Revenues that are not within the scope of Topic 606 are presented within </w:t>
      </w:r>
      <w:r>
        <w:rPr>
          <w:rFonts w:ascii="Times New Roman;serif" w:hAnsi="Times New Roman;serif"/>
          <w:b w:val="false"/>
          <w:i/>
          <w:color w:val="000000"/>
          <w:sz w:val="20"/>
        </w:rPr>
        <w:t>Sales of physical commodities</w:t>
      </w:r>
      <w:r>
        <w:rPr>
          <w:rFonts w:ascii="Times New Roman;serif" w:hAnsi="Times New Roman;serif"/>
          <w:b w:val="false"/>
          <w:color w:val="000000"/>
          <w:sz w:val="20"/>
        </w:rPr>
        <w:t xml:space="preserve">, </w:t>
      </w:r>
      <w:r>
        <w:rPr>
          <w:rFonts w:ascii="Times New Roman;serif" w:hAnsi="Times New Roman;serif"/>
          <w:b w:val="false"/>
          <w:i/>
          <w:color w:val="000000"/>
          <w:sz w:val="20"/>
        </w:rPr>
        <w:t>Principal gains, net</w:t>
      </w:r>
      <w:r>
        <w:rPr>
          <w:rFonts w:ascii="Times New Roman;serif" w:hAnsi="Times New Roman;serif"/>
          <w:b w:val="false"/>
          <w:color w:val="000000"/>
          <w:sz w:val="20"/>
        </w:rPr>
        <w:t xml:space="preserve">, and </w:t>
      </w:r>
      <w:r>
        <w:rPr>
          <w:rFonts w:ascii="Times New Roman;serif" w:hAnsi="Times New Roman;serif"/>
          <w:b w:val="false"/>
          <w:i/>
          <w:color w:val="000000"/>
          <w:sz w:val="20"/>
        </w:rPr>
        <w:t xml:space="preserve">Interest income </w:t>
      </w:r>
      <w:r>
        <w:rPr>
          <w:rFonts w:ascii="Times New Roman;serif" w:hAnsi="Times New Roman;serif"/>
          <w:b w:val="false"/>
          <w:color w:val="000000"/>
          <w:sz w:val="20"/>
        </w:rPr>
        <w:t xml:space="preserve">on the Condensed Consolidated Income Statements. </w:t>
      </w:r>
    </w:p>
    <w:tbl>
      <w:tblPr>
        <w:tblW w:w="7627" w:type="dxa"/>
        <w:jc w:val="left"/>
        <w:tblInd w:w="0" w:type="dxa"/>
        <w:tblLayout w:type="fixed"/>
        <w:tblCellMar>
          <w:top w:w="28" w:type="dxa"/>
          <w:left w:w="28" w:type="dxa"/>
          <w:bottom w:w="28" w:type="dxa"/>
          <w:right w:w="28" w:type="dxa"/>
        </w:tblCellMar>
      </w:tblPr>
      <w:tblGrid>
        <w:gridCol w:w="1794"/>
        <w:gridCol w:w="1575"/>
        <w:gridCol w:w="1580"/>
        <w:gridCol w:w="226"/>
        <w:gridCol w:w="226"/>
        <w:gridCol w:w="501"/>
        <w:gridCol w:w="226"/>
        <w:gridCol w:w="226"/>
        <w:gridCol w:w="226"/>
        <w:gridCol w:w="226"/>
        <w:gridCol w:w="226"/>
        <w:gridCol w:w="595"/>
      </w:tblGrid>
      <w:tr>
        <w:trPr/>
        <w:tc>
          <w:tcPr>
            <w:tcW w:w="1794"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 from contracts with clients as a percentage of total revenues</w:t>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5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disaggregation of the Company’s total revenues separated between revenues from contracts with clients and other sources of revenue for the periods indicated. </w:t>
      </w:r>
    </w:p>
    <w:tbl>
      <w:tblPr>
        <w:tblW w:w="6342" w:type="dxa"/>
        <w:jc w:val="left"/>
        <w:tblInd w:w="0" w:type="dxa"/>
        <w:tblLayout w:type="fixed"/>
        <w:tblCellMar>
          <w:top w:w="28" w:type="dxa"/>
          <w:left w:w="28" w:type="dxa"/>
          <w:bottom w:w="28" w:type="dxa"/>
          <w:right w:w="28" w:type="dxa"/>
        </w:tblCellMar>
      </w:tblPr>
      <w:tblGrid>
        <w:gridCol w:w="1328"/>
        <w:gridCol w:w="1164"/>
        <w:gridCol w:w="1168"/>
        <w:gridCol w:w="206"/>
        <w:gridCol w:w="824"/>
        <w:gridCol w:w="115"/>
        <w:gridCol w:w="115"/>
        <w:gridCol w:w="115"/>
        <w:gridCol w:w="115"/>
        <w:gridCol w:w="206"/>
        <w:gridCol w:w="824"/>
        <w:gridCol w:w="162"/>
      </w:tblGrid>
      <w:tr>
        <w:trPr/>
        <w:tc>
          <w:tcPr>
            <w:tcW w:w="1328"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Revenues from contracts with clients: </w:t>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Commission and clearing fees: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Sales-based:</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Exchange-traded futures and options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OTC derivative brokerage </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Equities and fixed income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Mutual funds </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Insurance and annuity products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sales-based commission</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Trailing:</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Mutual funds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and annuity products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trailing commission</w:t>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Clearing fees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 conversion fees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commission and clearing fees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Underwriting fees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Asset management fees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Advisory and consulting fees</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Sweep program fees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Client account fees </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consulting, management, and account fees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Precious metals sales under ASC Topic 606</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clients</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Method of revenue recognition:</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Point-in-time</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Time elapsed</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from contracts with clients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sources of revenues </w:t>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precious metals under ASC Topic 815</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35,682.4 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agricultural and energy products</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income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 by primary geographic region:</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United States </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South America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and Asia</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revenues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27,935.3 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 by primary geographic region:</w:t>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United States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1,008.4 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Europe</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 America</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Middle East and Asia</w:t>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revenues</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substantial majority of the Company’s performance obligations for revenues from contracts with clients are satisfied at a point in time and are typically collected from clients by debiting their accounts with the Company. </w:t>
      </w:r>
    </w:p>
    <w:p>
      <w:pPr>
        <w:pStyle w:val="TextBody"/>
        <w:bidi w:val="0"/>
        <w:spacing w:lineRule="auto" w:line="288" w:before="120" w:after="120"/>
        <w:jc w:val="left"/>
        <w:rPr/>
      </w:pPr>
      <w:r>
        <w:rPr>
          <w:rFonts w:ascii="Times New Roman;serif" w:hAnsi="Times New Roman;serif"/>
          <w:b w:val="false"/>
          <w:i/>
          <w:color w:val="000000"/>
          <w:sz w:val="20"/>
        </w:rPr>
        <w:t>Commission and clearing fees</w:t>
      </w:r>
      <w:r>
        <w:rPr>
          <w:color w:val="000000"/>
        </w:rPr>
        <w:t xml:space="preserve"> </w:t>
      </w:r>
      <w:r>
        <w:rPr>
          <w:rFonts w:ascii="Times New Roman;serif" w:hAnsi="Times New Roman;serif"/>
          <w:b w:val="false"/>
          <w:color w:val="000000"/>
          <w:sz w:val="20"/>
        </w:rPr>
        <w:t xml:space="preserve">revenue and </w:t>
      </w:r>
      <w:r>
        <w:rPr>
          <w:rFonts w:ascii="Times New Roman;serif" w:hAnsi="Times New Roman;serif"/>
          <w:b w:val="false"/>
          <w:i/>
          <w:color w:val="000000"/>
          <w:sz w:val="20"/>
        </w:rPr>
        <w:t xml:space="preserve">Consulting, management, and account fees </w:t>
      </w:r>
      <w:r>
        <w:rPr>
          <w:rFonts w:ascii="Times New Roman;serif" w:hAnsi="Times New Roman;serif"/>
          <w:b w:val="false"/>
          <w:color w:val="000000"/>
          <w:sz w:val="20"/>
        </w:rPr>
        <w:t xml:space="preserve">revenue are primarily related to the Commercial, Institutional and Self-Directed/Retail reportable segments. </w:t>
      </w:r>
      <w:r>
        <w:rPr>
          <w:rFonts w:ascii="Times New Roman;serif" w:hAnsi="Times New Roman;serif"/>
          <w:b w:val="false"/>
          <w:i/>
          <w:color w:val="000000"/>
          <w:sz w:val="20"/>
        </w:rPr>
        <w:t xml:space="preserve">Sales of physical commodities </w:t>
      </w:r>
      <w:r>
        <w:rPr>
          <w:rFonts w:ascii="Times New Roman;serif" w:hAnsi="Times New Roman;serif"/>
          <w:b w:val="false"/>
          <w:color w:val="000000"/>
          <w:sz w:val="20"/>
        </w:rPr>
        <w:t xml:space="preserve">under Topic 606 are related to the Company’s Commercial segment. </w:t>
      </w:r>
      <w:r>
        <w:rPr>
          <w:rFonts w:ascii="Times New Roman;serif" w:hAnsi="Times New Roman;serif"/>
          <w:b w:val="false"/>
          <w:i/>
          <w:color w:val="000000"/>
          <w:sz w:val="20"/>
        </w:rPr>
        <w:t>Principal gains, net</w:t>
      </w:r>
      <w:r>
        <w:rPr>
          <w:color w:val="000000"/>
        </w:rPr>
        <w:t xml:space="preserve"> </w:t>
      </w:r>
      <w:r>
        <w:rPr>
          <w:rFonts w:ascii="Times New Roman;serif" w:hAnsi="Times New Roman;serif"/>
          <w:b w:val="false"/>
          <w:color w:val="000000"/>
          <w:sz w:val="20"/>
        </w:rPr>
        <w:t xml:space="preserve">are contributed by all of the Company’s reportable segments. </w:t>
      </w: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 xml:space="preserve">is primarily related to the Commercial and Institutional reportable segments. Precious metals trading and agricultural and energy product trading revenues are related to the Commercial reportable segment. Precious metals sales that are recognized on a point-in-time basis are included in the Commercial reportable segment. </w:t>
      </w:r>
    </w:p>
    <w:p>
      <w:pPr>
        <w:pStyle w:val="TextBody"/>
        <w:bidi w:val="0"/>
        <w:spacing w:lineRule="auto" w:line="288" w:before="120" w:after="120"/>
        <w:jc w:val="left"/>
        <w:rPr/>
      </w:pPr>
      <w:r>
        <w:rPr>
          <w:rFonts w:ascii="Times New Roman;serif" w:hAnsi="Times New Roman;serif"/>
          <w:b w:val="false"/>
          <w:i/>
          <w:color w:val="000000"/>
          <w:sz w:val="20"/>
        </w:rPr>
        <w:t xml:space="preserve">Principal gains, net </w:t>
      </w:r>
      <w:r>
        <w:rPr>
          <w:rFonts w:ascii="Times New Roman;serif" w:hAnsi="Times New Roman;serif"/>
          <w:b w:val="false"/>
          <w:color w:val="000000"/>
          <w:sz w:val="20"/>
        </w:rPr>
        <w:t>also includes dividend income on long equity positions and dividend expense on short equity positions, which are recognized on the ex-dividend date. The following table indicates the relevant income and expense:</w:t>
      </w:r>
    </w:p>
    <w:tbl>
      <w:tblPr>
        <w:tblW w:w="6864" w:type="dxa"/>
        <w:jc w:val="left"/>
        <w:tblInd w:w="0" w:type="dxa"/>
        <w:tblLayout w:type="fixed"/>
        <w:tblCellMar>
          <w:top w:w="28" w:type="dxa"/>
          <w:left w:w="28" w:type="dxa"/>
          <w:bottom w:w="28" w:type="dxa"/>
          <w:right w:w="28" w:type="dxa"/>
        </w:tblCellMar>
      </w:tblPr>
      <w:tblGrid>
        <w:gridCol w:w="1516"/>
        <w:gridCol w:w="1332"/>
        <w:gridCol w:w="1336"/>
        <w:gridCol w:w="275"/>
        <w:gridCol w:w="653"/>
        <w:gridCol w:w="152"/>
        <w:gridCol w:w="152"/>
        <w:gridCol w:w="152"/>
        <w:gridCol w:w="152"/>
        <w:gridCol w:w="275"/>
        <w:gridCol w:w="653"/>
        <w:gridCol w:w="216"/>
      </w:tblGrid>
      <w:tr>
        <w:trPr/>
        <w:tc>
          <w:tcPr>
            <w:tcW w:w="151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income on long equity positions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expense on short equity positions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Dividend expense, net reported within </w:t>
            </w:r>
            <w:r>
              <w:rPr>
                <w:rFonts w:ascii="Times New Roman;serif" w:hAnsi="Times New Roman;serif"/>
                <w:b w:val="false"/>
                <w:i/>
                <w:color w:val="000000"/>
                <w:sz w:val="16"/>
              </w:rPr>
              <w:t>Principal gains, net</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Remaining Performance Obligations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are services that the Company has committed to perform in the future in connection with its contracts with clients. The Company’s remaining performance obligations are generally related to its risk management consulting and asset management contracts with clients. Revenues associated with remaining performance obligations related to these contracts with clients are not material to the overall consolidated results of the Company. For the Company’s asset management activities, where fees are calculated based on a percentage of the fair value of eligible assets in clients’ accounts, future revenue associated with remaining performance obligations cannot be determined as such fees are subject to fluctuations in the fair value of eligible assets in clients’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14 – Other Expenses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expenses consisted of the following, for the periods indicated.</w:t>
      </w:r>
    </w:p>
    <w:tbl>
      <w:tblPr>
        <w:tblW w:w="5499" w:type="dxa"/>
        <w:jc w:val="left"/>
        <w:tblInd w:w="0" w:type="dxa"/>
        <w:tblLayout w:type="fixed"/>
        <w:tblCellMar>
          <w:top w:w="28" w:type="dxa"/>
          <w:left w:w="28" w:type="dxa"/>
          <w:bottom w:w="28" w:type="dxa"/>
          <w:right w:w="28" w:type="dxa"/>
        </w:tblCellMar>
      </w:tblPr>
      <w:tblGrid>
        <w:gridCol w:w="1022"/>
        <w:gridCol w:w="895"/>
        <w:gridCol w:w="902"/>
        <w:gridCol w:w="275"/>
        <w:gridCol w:w="653"/>
        <w:gridCol w:w="152"/>
        <w:gridCol w:w="152"/>
        <w:gridCol w:w="152"/>
        <w:gridCol w:w="152"/>
        <w:gridCol w:w="275"/>
        <w:gridCol w:w="653"/>
        <w:gridCol w:w="216"/>
      </w:tblGrid>
      <w:tr>
        <w:trPr/>
        <w:tc>
          <w:tcPr>
            <w:tcW w:w="102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Non-income taxes</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related expenses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direct business expenses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Membership fees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Director and public company expenses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Office expenses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expenses</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Note 15 – Income Taxes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income tax provision for interim periods comprises income tax on ordinary income/(loss) at the most recent estimated annual effective income tax rate, adjusted for the income tax effect of discrete items. Management uses an estimated annual effective income tax rate based on the forecasted pretax income/(loss) and statutory tax rates in the various jurisdictions in which the Company operates.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Current and Prior Period Tax Expense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of $45.9 million and $31.8 million for the three months ended December 31, 2025 and 2024, respectively, reflects estimated federal, foreign, state and local income taxes.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was 25% and 27% for the three months ended December 31, 2025 and 2024, respectively. The effective tax rate was higher than the U.S. federal statutory rate of 21% for the three months ended December 31, 2025 due to U.S. state and local taxes, Global Intangible Low-Taxed Income (“GILTI”), GloBE minimum tax, U.S. and foreign permanent differences, and the amount of foreign earnings taxed at higher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16 – Regulatory Capital Requirements     </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activities are subject to significant governmental regulation, both in the U.S. and in the international jurisdictions in which it operates. Subsidiaries of the Company were in compliance with all of their regulatory requirements as of December 31, 2025. The following table details those subsidiaries with minimum regulatory requirements in excess of $10.0 million along with the actual balance maintained as of that date. </w:t>
      </w:r>
    </w:p>
    <w:tbl>
      <w:tblPr>
        <w:tblW w:w="6527" w:type="dxa"/>
        <w:jc w:val="left"/>
        <w:tblInd w:w="0" w:type="dxa"/>
        <w:tblLayout w:type="fixed"/>
        <w:tblCellMar>
          <w:top w:w="28" w:type="dxa"/>
          <w:left w:w="28" w:type="dxa"/>
          <w:bottom w:w="28" w:type="dxa"/>
          <w:right w:w="28" w:type="dxa"/>
        </w:tblCellMar>
      </w:tblPr>
      <w:tblGrid>
        <w:gridCol w:w="811"/>
        <w:gridCol w:w="711"/>
        <w:gridCol w:w="713"/>
        <w:gridCol w:w="565"/>
        <w:gridCol w:w="565"/>
        <w:gridCol w:w="566"/>
        <w:gridCol w:w="109"/>
        <w:gridCol w:w="109"/>
        <w:gridCol w:w="109"/>
        <w:gridCol w:w="196"/>
        <w:gridCol w:w="556"/>
        <w:gridCol w:w="109"/>
        <w:gridCol w:w="109"/>
        <w:gridCol w:w="109"/>
        <w:gridCol w:w="109"/>
        <w:gridCol w:w="233"/>
        <w:gridCol w:w="663"/>
        <w:gridCol w:w="185"/>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Subsidiary</w:t>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Regulatory Authority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w:t>
              <w:br/>
              <w:t>Requirement</w:t>
            </w:r>
          </w:p>
        </w:tc>
      </w:tr>
      <w:tr>
        <w:trPr/>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Financial Inc.</w:t>
            </w:r>
          </w:p>
        </w:tc>
        <w:tc>
          <w:tcPr>
            <w:tcW w:w="16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 and CFTC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Financial Ltd.</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Capital Group, LLC</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CFTC and NFA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Financial Pte. Ltd.</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StoneX Markets LLC</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CFTC and NFA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R.J. O'Brien &amp; Associates LLC</w:t>
            </w:r>
          </w:p>
        </w:tc>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CFTC and NFA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R.J. O'Brien Limited</w:t>
            </w:r>
          </w:p>
        </w:tc>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80"/>
        <w:jc w:val="left"/>
        <w:rPr>
          <w:rFonts w:ascii="Times New Roman;serif" w:hAnsi="Times New Roman;serif"/>
          <w:b w:val="false"/>
          <w:color w:val="000000"/>
          <w:sz w:val="20"/>
        </w:rPr>
      </w:pPr>
      <w:r>
        <w:rPr>
          <w:rFonts w:ascii="Times New Roman;serif" w:hAnsi="Times New Roman;serif"/>
          <w:b w:val="false"/>
          <w:color w:val="000000"/>
          <w:sz w:val="20"/>
        </w:rPr>
        <w:t>Certain other subsidiaries of the Company, typically with a minimum requirement less than $10.0 million, are also subject to net capital requirements promulgated by authorities in the countries in which they operate. As of December 31, 2025, all of the Company’s subsidiaries were in compliance with their local regulatory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Note 17 - Acquisitions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consolidated financial statements include the operating results and cash flows of the acquired businesses from the dates of acquisition.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Current Year Acquisitions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Intercam Advisors, Inc. and Intercam Securities, Inc.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17, 2025, the Company completed its acquisition of Intercam Advisors, Inc. and Intercam Securities, Inc. (together “Intercam”), both U.S.-based firms providing brokerage and investment advisory services to Latin American clients. This acquisition bolsters the Company’s existing wealth management business and further strengthens its connection with Latin America. Through this transaction, the Company expands its ability to serve cross-border clients with a broader range of integrated advisory and brokerage solutions supported by the firm’s global reach and infrastructure.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purchase price consists of $1.7 million of cash consideration paid at closing and deferred consideration totaling $0.8 million. The business activities of Intercam have been assigned to the Company’s Self-Directed/Retail reportable segment. The acquisition generated $0.4 million of Goodwill.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Plantureux et Associés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31, 2025, the Company’s wholly owned subsidiary, StoneX Financial Europe GmbH, completed its acquisition of Plantureux et Associés (“Plantureux”), a Paris-based brokerage firm specializing in agricultural commodities across both the physical and derivatives markets. The acquisition provides a strategic foothold in the French agricultural commodities market – Europe’s leading grain producing region. With nearly 40 years of experience in agricultural commodities, Plantureux is a respected intermediary in the French cereal market, known for its deep knowledge of the industry and its strong relationships with both buyers and sellers.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purchase price consists of $2.8 million of cash consideration paid at closing and deferred consideration totaling $1.2 million. The business activities of Plantureux have been assigned to the Company’s Commercial reportable segment. The acquisition generated $2.9 million of Goodwill.</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The Assets of GEA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7, 2025, the Company acquired certain assets of GEA Capital (“GEA”) to add to the Company’s Independent Wealth businesses by delivering boutique-style services to both private and corporate clients. The purchase price consists of $5.2 million of cash consideration paid at closing and deferred consideration totaling $18.1 million. The acquired asset was a customer list asset valued at $23.3 million.</w:t>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Prior Year Acquisitions</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R.J. O’Brien </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On April 14, 2025, the Company announced that it had entered into a definitive agreement with RTS Merger Sub Inc., RTS Investor Corp., and Westmoor Trail Partners LLC to acquire 100% ownership of RTS Investor Corp., which was the parent company for the R.J. O’Brien global business (“RJO”), including R.J. O’Brien &amp; Associates, LLC, the oldest futures brokerage in the U.S., and selected affiliates. This transaction was effective on the closing date of July 31, 2025.</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Post-Acquisition Results and Unaudited Pro Forma Information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RJO’s results of operations and cash flows have been included in the Company’s consolidated financial statements for the period subsequent to July 31, 2025. For the three months ended December 31, 2025, the Company’s results include total operating revenues and net income from RJO of $201.0 million and $19.7 million, respectively. As of December 31, 2025 the Company’s fair value and purchase price accounting are preliminary.</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unaudited pro forma financial information (in millions, except per share amounts) has been adjusted to give effect to the RJO merger as if it had been consummated on October 1, 2024. The pro forma adjustments include additional interest expense related to the Notes Due 2032, net of tax and intangible amortization, net of tax. RJO net income for the three months ended December 31, 2024 was adversely impacted by an unrealized mark to market loss of $18.2 million on RJO’s investment portfolio. </w:t>
      </w:r>
    </w:p>
    <w:tbl>
      <w:tblPr>
        <w:tblW w:w="5265" w:type="dxa"/>
        <w:jc w:val="left"/>
        <w:tblInd w:w="0" w:type="dxa"/>
        <w:tblLayout w:type="fixed"/>
        <w:tblCellMar>
          <w:top w:w="28" w:type="dxa"/>
          <w:left w:w="28" w:type="dxa"/>
          <w:bottom w:w="28" w:type="dxa"/>
          <w:right w:w="28" w:type="dxa"/>
        </w:tblCellMar>
      </w:tblPr>
      <w:tblGrid>
        <w:gridCol w:w="717"/>
        <w:gridCol w:w="630"/>
        <w:gridCol w:w="633"/>
        <w:gridCol w:w="569"/>
        <w:gridCol w:w="2269"/>
        <w:gridCol w:w="447"/>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December 31, 2024</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28,144.4 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revenues</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1,153.4 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Basic earnings per share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per share</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4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Note 18 – Segment Analysis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operating segments are principally based on the nature of the clients it serves (commercial, institutional, and self-directed/retail), and a fourth operating segment, its payments business. The Company manages its business in this manner due to its large global footprint, in which it has more than 5,400 employees, allowing it to serve clients in more than 180 countries.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2025, the Company’s acquisition of RJO triggered a reassessment of the financial information reviewed by management. The Company determined the acquired business activities of RJO were similar to its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business activities are managed as operating segments and organized into reportable segments as follows: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Commercial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offers commercial clients a comprehensive array of products and services, including risk management and hedging services, execution and clearing of exchange-traded and OTC products, voice brokerage, market intelligence and physical commodity trading, marketing, procurement, logistics and price management services. The ability to provide these high-value-added products and services, differentiates the Company from its competitors and maximizes the opportunity to retain clients.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Institutional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institutional clients with a complete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Additionally, the Company operates a comprehensive investment banking platform which provides both investment banking services and equity research.</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Self-Directed/Retail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self-directed/retail clients around the world access to over 18,000 global financial markets, including spot foreign exchange ("forex"), as well as CFDs, which are investment products with returns linked to the performance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underlying assets. In addition, its independent wealth management business offers a comprehensive product suite to self-directed/retail investors in the U.S.</w:t>
      </w:r>
    </w:p>
    <w:p>
      <w:pPr>
        <w:pStyle w:val="TextBody"/>
        <w:bidi w:val="0"/>
        <w:spacing w:lineRule="auto" w:line="288" w:before="120" w:after="60"/>
        <w:jc w:val="left"/>
        <w:rPr>
          <w:rFonts w:ascii="Times New Roman;serif" w:hAnsi="Times New Roman;serif"/>
          <w:b/>
          <w:i/>
          <w:color w:val="000000"/>
          <w:sz w:val="20"/>
        </w:rPr>
      </w:pPr>
      <w:r>
        <w:rPr>
          <w:rFonts w:ascii="Times New Roman;serif" w:hAnsi="Times New Roman;serif"/>
          <w:b/>
          <w:i/>
          <w:color w:val="000000"/>
          <w:sz w:val="20"/>
        </w:rPr>
        <w:t>Payments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customized payment, technology, and treasury services to banks and commercial businesses as well as charities and non-governmental organizations and government organizations. The Company provides transparent pricing and offers payments services in more than 180 countries and 140 currencies, which it believes is more than any other payments solution provider.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p>
      <w:pPr>
        <w:pStyle w:val="TextBody"/>
        <w:bidi w:val="0"/>
        <w:spacing w:lineRule="auto" w:line="288" w:before="0" w:after="120"/>
        <w:jc w:val="left"/>
        <w:rPr/>
      </w:pPr>
      <w:r>
        <w:rPr>
          <w:rFonts w:ascii="Times New Roman;serif" w:hAnsi="Times New Roman;serif"/>
          <w:b w:val="false"/>
          <w:color w:val="000000"/>
          <w:sz w:val="20"/>
        </w:rPr>
        <w:t xml:space="preserve">The total revenues reported combine gross revenues from physical contracts for subsidiaries that are not broker-dealers and net revenues for all other businesses. In order to reflect the way that the Company’s management views the results, the table below also reflects the segment contribution to </w:t>
      </w:r>
      <w:r>
        <w:rPr>
          <w:rFonts w:ascii="Times New Roman;serif" w:hAnsi="Times New Roman;serif"/>
          <w:b w:val="false"/>
          <w:i/>
          <w:color w:val="000000"/>
          <w:sz w:val="20"/>
        </w:rPr>
        <w:t>Operating revenues</w:t>
      </w:r>
      <w:r>
        <w:rPr>
          <w:rFonts w:ascii="Times New Roman;serif" w:hAnsi="Times New Roman;serif"/>
          <w:b w:val="false"/>
          <w:color w:val="000000"/>
          <w:sz w:val="20"/>
        </w:rPr>
        <w:t>, which is shown on the face of the Condensed Consolidated Income Statements and which is calculated by deducting physical commodities cost of sales from total revenues.</w:t>
      </w:r>
    </w:p>
    <w:p>
      <w:pPr>
        <w:pStyle w:val="TextBody"/>
        <w:bidi w:val="0"/>
        <w:spacing w:lineRule="auto" w:line="288" w:before="0" w:after="120"/>
        <w:jc w:val="left"/>
        <w:rPr/>
      </w:pPr>
      <w:r>
        <w:rPr>
          <w:rFonts w:ascii="Times New Roman;serif" w:hAnsi="Times New Roman;serif"/>
          <w:b w:val="false"/>
          <w:i/>
          <w:color w:val="000000"/>
          <w:sz w:val="20"/>
        </w:rPr>
        <w:t>Operating revenues</w:t>
      </w:r>
      <w:r>
        <w:rPr>
          <w:rFonts w:ascii="Times New Roman;serif" w:hAnsi="Times New Roman;serif"/>
          <w:b w:val="false"/>
          <w:color w:val="000000"/>
          <w:sz w:val="20"/>
        </w:rPr>
        <w:t xml:space="preserve">, which are shown on the face of the Consolidated Income Statements is calculated by deducting physical commodities cost of sales from total revenues. </w:t>
      </w:r>
    </w:p>
    <w:p>
      <w:pPr>
        <w:pStyle w:val="TextBody"/>
        <w:bidi w:val="0"/>
        <w:spacing w:lineRule="auto" w:line="288" w:before="0" w:after="120"/>
        <w:jc w:val="left"/>
        <w:rPr/>
      </w:pPr>
      <w:r>
        <w:rPr>
          <w:rFonts w:ascii="Times New Roman;serif" w:hAnsi="Times New Roman;serif"/>
          <w:b w:val="false"/>
          <w:i/>
          <w:color w:val="000000"/>
          <w:sz w:val="20"/>
        </w:rPr>
        <w:t>Net Operating revenues</w:t>
      </w:r>
      <w:r>
        <w:rPr>
          <w:rFonts w:ascii="Times New Roman;serif" w:hAnsi="Times New Roman;serif"/>
          <w:b w:val="false"/>
          <w:color w:val="000000"/>
          <w:sz w:val="20"/>
        </w:rPr>
        <w:t xml:space="preserve">, which are also shown on the face of the Consolidated Income Statements is calculated by deducting transaction-based clearing expenses, introducing broker commissions, and interest expense from operating revenues. </w:t>
      </w:r>
    </w:p>
    <w:p>
      <w:pPr>
        <w:pStyle w:val="TextBody"/>
        <w:bidi w:val="0"/>
        <w:spacing w:lineRule="auto" w:line="288" w:before="0" w:after="120"/>
        <w:jc w:val="left"/>
        <w:rPr/>
      </w:pPr>
      <w:r>
        <w:rPr>
          <w:rFonts w:ascii="Times New Roman;serif" w:hAnsi="Times New Roman;serif"/>
          <w:b w:val="false"/>
          <w:i/>
          <w:color w:val="000000"/>
          <w:sz w:val="20"/>
        </w:rPr>
        <w:t>Net contribution</w:t>
      </w:r>
      <w:r>
        <w:rPr>
          <w:color w:val="000000"/>
        </w:rPr>
        <w:t xml:space="preserve"> </w:t>
      </w:r>
      <w:r>
        <w:rPr>
          <w:rFonts w:ascii="Times New Roman;serif" w:hAnsi="Times New Roman;serif"/>
          <w:b w:val="false"/>
          <w:color w:val="000000"/>
          <w:sz w:val="20"/>
        </w:rPr>
        <w:t>is calculated as net operating revenues less direct variable compensation. Variable compensation paid to risk management consultants/traders generally represents a fixed percentage of revenues generated, and in some cases, revenues generated less transaction-based clearing expenses, base salaries and an overhead allocation.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data also includes segment income which is calculated as net contribution less non-variable direct expenses of the segment. These non-variable direct expenses include trader base compensation and benefits, operational employee compensation and benefits, communication and data services, business development, professional fees, bad debt expense and other direct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Inter-segment revenues, expenses, receivables and payables are eliminated upon consolidation.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Total revenues, operating revenues and net operating revenues shown in the table below as “Corporate” primarily consist of interest income from the Company’s centralized corporate treasury function. In the normal course of operations, the Company operates a centralized corporate treasury function in which it may sweep excess cash from certain subsidiaries, where permitted within regulatory limitations, in exchange for a short-term interest bearing intercompany payable, or provide excess cash to subsidiaries in exchange for a short-term interest bearing intercompany receivable in lieu of the subsidiary borrowing on external credit facilities. The intercompany receivables and payables are eliminated during consolidation.</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0"/>
        </w:rPr>
        <w:t>Overhead costs and expenses” include costs and expenses of certain shared services such as information technology, accounting and treasury, credit and risk, legal and compliance, and human resources and other activities. These amounts represent the gross overhead costs and expenses, before any allocation of overhead costs to operating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Executive Committee functions as the Company’s Chief Operating Decision Maker ("CODM"). The Executive Committee comprises its Executive Vice-Chairman, Chief Executive Officer, President, Chief Financial Officer, Chief Operating Officer, Chief Risk Officer, Chief Governance and Legal Officer, Chief Information Officer, and Chief Executive Officer - Asia Pacific.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segments are the same as those described in the summary of significant accounting policies. The CODM uses segment net operating revenues and segment income to manage business operational decisions, including the allocation of financial and employee resources, and to evaluate the performance of each segment by comparing the results of each segment with one another, as well as to internal forecasts.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Information for the reportable segments is shown in accordance with the Segment Reporting Topic of the ASC as follows:</w:t>
      </w:r>
    </w:p>
    <w:tbl>
      <w:tblPr>
        <w:tblW w:w="10560" w:type="dxa"/>
        <w:jc w:val="center"/>
        <w:tblInd w:w="0" w:type="dxa"/>
        <w:tblLayout w:type="fixed"/>
        <w:tblCellMar>
          <w:top w:w="28" w:type="dxa"/>
          <w:left w:w="28" w:type="dxa"/>
          <w:bottom w:w="28" w:type="dxa"/>
          <w:right w:w="28" w:type="dxa"/>
        </w:tblCellMar>
      </w:tblPr>
      <w:tblGrid>
        <w:gridCol w:w="758"/>
        <w:gridCol w:w="310"/>
        <w:gridCol w:w="313"/>
        <w:gridCol w:w="196"/>
        <w:gridCol w:w="781"/>
        <w:gridCol w:w="109"/>
        <w:gridCol w:w="109"/>
        <w:gridCol w:w="109"/>
        <w:gridCol w:w="109"/>
        <w:gridCol w:w="196"/>
        <w:gridCol w:w="781"/>
        <w:gridCol w:w="109"/>
        <w:gridCol w:w="109"/>
        <w:gridCol w:w="109"/>
        <w:gridCol w:w="109"/>
        <w:gridCol w:w="206"/>
        <w:gridCol w:w="729"/>
        <w:gridCol w:w="116"/>
        <w:gridCol w:w="109"/>
        <w:gridCol w:w="109"/>
        <w:gridCol w:w="109"/>
        <w:gridCol w:w="196"/>
        <w:gridCol w:w="556"/>
        <w:gridCol w:w="109"/>
        <w:gridCol w:w="109"/>
        <w:gridCol w:w="109"/>
        <w:gridCol w:w="109"/>
        <w:gridCol w:w="196"/>
        <w:gridCol w:w="691"/>
        <w:gridCol w:w="109"/>
        <w:gridCol w:w="109"/>
        <w:gridCol w:w="109"/>
        <w:gridCol w:w="109"/>
        <w:gridCol w:w="277"/>
        <w:gridCol w:w="574"/>
        <w:gridCol w:w="155"/>
        <w:gridCol w:w="109"/>
        <w:gridCol w:w="109"/>
        <w:gridCol w:w="109"/>
        <w:gridCol w:w="196"/>
        <w:gridCol w:w="781"/>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2025</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Self-Directed /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34,545.0 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440" w:type="dxa"/>
        <w:jc w:val="left"/>
        <w:tblInd w:w="0" w:type="dxa"/>
        <w:tblLayout w:type="fixed"/>
        <w:tblCellMar>
          <w:top w:w="28" w:type="dxa"/>
          <w:left w:w="28" w:type="dxa"/>
          <w:bottom w:w="28" w:type="dxa"/>
          <w:right w:w="28" w:type="dxa"/>
        </w:tblCellMar>
      </w:tblPr>
      <w:tblGrid>
        <w:gridCol w:w="758"/>
        <w:gridCol w:w="310"/>
        <w:gridCol w:w="313"/>
        <w:gridCol w:w="196"/>
        <w:gridCol w:w="781"/>
        <w:gridCol w:w="109"/>
        <w:gridCol w:w="109"/>
        <w:gridCol w:w="109"/>
        <w:gridCol w:w="109"/>
        <w:gridCol w:w="196"/>
        <w:gridCol w:w="781"/>
        <w:gridCol w:w="109"/>
        <w:gridCol w:w="109"/>
        <w:gridCol w:w="109"/>
        <w:gridCol w:w="109"/>
        <w:gridCol w:w="206"/>
        <w:gridCol w:w="729"/>
        <w:gridCol w:w="116"/>
        <w:gridCol w:w="109"/>
        <w:gridCol w:w="109"/>
        <w:gridCol w:w="109"/>
        <w:gridCol w:w="196"/>
        <w:gridCol w:w="556"/>
        <w:gridCol w:w="109"/>
        <w:gridCol w:w="109"/>
        <w:gridCol w:w="109"/>
        <w:gridCol w:w="109"/>
        <w:gridCol w:w="196"/>
        <w:gridCol w:w="571"/>
        <w:gridCol w:w="109"/>
        <w:gridCol w:w="109"/>
        <w:gridCol w:w="109"/>
        <w:gridCol w:w="109"/>
        <w:gridCol w:w="277"/>
        <w:gridCol w:w="574"/>
        <w:gridCol w:w="155"/>
        <w:gridCol w:w="109"/>
        <w:gridCol w:w="109"/>
        <w:gridCol w:w="109"/>
        <w:gridCol w:w="196"/>
        <w:gridCol w:w="781"/>
        <w:gridCol w:w="154"/>
      </w:tblGrid>
      <w:tr>
        <w:trPr/>
        <w:tc>
          <w:tcPr>
            <w:tcW w:w="75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 2024</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Institutional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Self-Directed / Retail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Non-interest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27,557.1 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expenses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Throughout this document, unless the context otherwise requires, the terms “Company”, “we”, “us” and “our” refer to StoneX Group Inc. and its consolidated subsidiaries.</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condensed consolidated financial statements and notes thereto appearing elsewhere in this report. This Quarterly Report on Form 10-Q contains “forward-looking statements” within the meaning of the safe harbor provisions of the Private Securities Litigation Reform Act of 1995. The words “believe,”, “may,” “will,” “estimate,” “continue,” “anticipate,” “intend,” “expect,” and similar expressions are intended to identify forward-looking statements. These forward-looking statements involve known and unknown risks and uncertainties, many of which are beyond the control of the Company, including statements about the benefits of our acquisition of RJO, expected synergies and future financial and operating results, the plans, objectives, expectations and intentions of StoneX with respect to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2025.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 We undertake no obligation to publicly update or revise any forward-looking statements, whether as a result of new information, future events or otherwise, except as required by law. We caution readers that any forward-looking statements are not guarantees of future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20" w:after="283"/>
        <w:jc w:val="left"/>
        <w:rPr/>
      </w:pPr>
      <w:r>
        <w:rPr>
          <w:rFonts w:ascii="Times New Roman;serif" w:hAnsi="Times New Roman;serif"/>
          <w:b w:val="false"/>
          <w:color w:val="000000"/>
          <w:sz w:val="20"/>
        </w:rPr>
        <w:t xml:space="preserve">We operate a global financial services network that connects companies, organizations, traders and investors to the global market ecosystem through a unique blend of digital platforms, end-to-end clearing and execution services, high touch service and deep expertise. We strive to be the one trusted partner to our clients, providing our network, products and services to allow them to pursue trading opportunities, manage their market risks, make investments and improve their business performance. Our businesses are supported by our global infrastructure of regulated operating subsidiaries, our advanced technology platforms and our team of more than 5,400 employees as of December 31, 2025. We believe our client-first approach differentiates us from large banking institutions, engenders trust and has enabled us to establish market leading positions in a number of complex fields in financial markets around the world. For additional information, see </w:t>
      </w:r>
      <w:r>
        <w:rPr>
          <w:rFonts w:ascii="Times New Roman;serif" w:hAnsi="Times New Roman;serif"/>
          <w:b w:val="false"/>
          <w:i/>
          <w:color w:val="000000"/>
          <w:sz w:val="20"/>
        </w:rPr>
        <w:t>Overview of Business and Strategy</w:t>
      </w:r>
      <w:r>
        <w:rPr>
          <w:color w:val="000000"/>
        </w:rPr>
        <w:t xml:space="preserve"> </w:t>
      </w:r>
      <w:r>
        <w:rPr>
          <w:rFonts w:ascii="Times New Roman;serif" w:hAnsi="Times New Roman;serif"/>
          <w:b w:val="false"/>
          <w:color w:val="000000"/>
          <w:sz w:val="20"/>
        </w:rPr>
        <w:t>within “Item 1. Business” in our Annual Report on Form 10-K for the fiscal year ended September 30,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report our operating segments based primarily on the nature of the clients we serve (commercial, institutional, and self-directed/retail), and a fourth operating segment, our payments business. This structure allows us to efficiently serve clients in more than 180 countries and manage our large global footprint. See Segment Information, below, for a listing of business activities performed within our reportable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Unless noted otherwise, comparisons in the following discussions relate to the three months ended December 31, 2025 as compared to the same three-month period in the prior fiscal year.</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Recent Events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Closing of the Acquisition of Certain Assets of GEA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7, 2025, we acquired certain assets of GEA Capital (“GEA”) to add to our Independent Wealth businesses by delivering boutique-style services to both private and corporate clients. The purchase price consists of $5.2 million of cash consideration paid at closing and deferred consideration totaling $18.1 million. The acquired asset was a customer list asset valued at $23.3 million.</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f6ffd044af5493e8c0f30e256870d2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Closing of the Acquisition of Intercam Securities, Inc. and Intercam Advisors, Inc.</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October 17, 2025, we acquired all the outstanding shares of Intercam Securities, Inc. and Intercam Advisors, Inc., both U.S.-based firms providing brokerage and investment advisory services to Latin America clients. Subsequent to the acquisitions, the companies have been renamed StoneX International Securities Inc. and StoneX International Advisors, Inc.</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Closing of the Acquisition of Plantureux</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On October 31, 2025, one of the Company’s subsidiaries, StoneX Financial Europe GmbH, acquired all outstanding shares of Plantureux et Associés, a Paris-based brokerage firm specializing in agricultural commodities across both the physical and derivatives markets.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Potential Impacts of Global Instability, New Tariffs or Changes to Existing Tariffs </w:t>
      </w:r>
    </w:p>
    <w:p>
      <w:pPr>
        <w:pStyle w:val="TextBody"/>
        <w:bidi w:val="0"/>
        <w:spacing w:lineRule="auto" w:line="268" w:before="0" w:after="120"/>
        <w:jc w:val="left"/>
        <w:rPr>
          <w:rFonts w:ascii="Times New Roman;serif" w:hAnsi="Times New Roman;serif"/>
          <w:b w:val="false"/>
          <w:color w:val="000000"/>
          <w:sz w:val="20"/>
        </w:rPr>
      </w:pPr>
      <w:r>
        <w:rPr>
          <w:rFonts w:ascii="Times New Roman;serif" w:hAnsi="Times New Roman;serif"/>
          <w:b w:val="false"/>
          <w:color w:val="000000"/>
          <w:sz w:val="20"/>
        </w:rPr>
        <w:t>A number of significant structural, political, and monetary issues, and geopolitical conflicts continue to confront the global economy, and instability could continue, resulting in changes to the level of inflation, market volatility, potential recession, supply chain constraints and costs, diminished trading volumes, uncertainty, increased operating expenses, and increased costs or restrictions due to potential new tariffs or changes to existing tariffs. The impacts of these events and other factors on our financial position and results of operations is difficult to predict, could affect the comparability of our results of operations from period to period, and may have an adverse effect on our financial results.</w:t>
      </w:r>
    </w:p>
    <w:p>
      <w:pPr>
        <w:pStyle w:val="TextBody"/>
        <w:bidi w:val="0"/>
        <w:spacing w:lineRule="auto" w:line="288" w:before="120" w:after="20"/>
        <w:jc w:val="left"/>
        <w:rPr>
          <w:rFonts w:ascii="Times New Roman;serif" w:hAnsi="Times New Roman;serif"/>
          <w:b w:val="false"/>
          <w:i/>
          <w:color w:val="000000"/>
          <w:sz w:val="20"/>
        </w:rPr>
      </w:pPr>
      <w:r>
        <w:rPr>
          <w:rFonts w:ascii="Times New Roman;serif" w:hAnsi="Times New Roman;serif"/>
          <w:b w:val="false"/>
          <w:i/>
          <w:color w:val="000000"/>
          <w:sz w:val="20"/>
        </w:rPr>
        <w:t>Common Stock Split</w:t>
      </w:r>
    </w:p>
    <w:p>
      <w:pPr>
        <w:pStyle w:val="TextBody"/>
        <w:bidi w:val="0"/>
        <w:spacing w:lineRule="auto" w:line="288" w:before="120" w:after="20"/>
        <w:jc w:val="left"/>
        <w:rPr>
          <w:rFonts w:ascii="Times New Roman;serif" w:hAnsi="Times New Roman;serif"/>
          <w:b w:val="false"/>
          <w:color w:val="000000"/>
          <w:sz w:val="20"/>
        </w:rPr>
      </w:pPr>
      <w:r>
        <w:rPr>
          <w:rFonts w:ascii="Times New Roman;serif" w:hAnsi="Times New Roman;serif"/>
          <w:b w:val="false"/>
          <w:color w:val="000000"/>
          <w:sz w:val="20"/>
        </w:rPr>
        <w:t>On February 3, 2026, the Company’s Board of Directors approved a three-for-two split of its common stock to make stock ownership more accessible to employees and investors. The stock split will be effected as a stock dividend entitling each stockholder of record to receive one additional share of common stock for every two shares owned. Additional shares issued as a result of the stock dividend will be distributed after close of trading on March 20, 2026, to stockholders of record at the close of business on March 10, 2026. Cash will be distributed in lieu of fractional shares based on the opening price of a share of common stock on March 11, 2026. Trading is expected to begin on a stock split-adjusted basis at market open on March 23, 2026. All share and per share amounts contained herein have not been retroactively adjusted for this subsequent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Executive Summary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achieved a strong start to our fiscal year, with record net operating revenues and net income, up 47% and 63%, respectively, as our breadth of product and geographical reach, enabled us to benefit from increased client demand and activity associated with rising prices and volatility in global metals markets, while our equity and fixed income businesses continued to capitalize on continued client demand for our products and services. In addition, this quarter represents the first full quarter that includes RJO and Benchmark, which contributed $93.0 million and $17.2 million in net operating revenues, respectively.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experienced strong transactional volume growth in listed and OTC derivatives, securities and payments, while FX/CFD contracts declined modestly, principally driven by a decline in our Institutional segment, which was partially offset by growth in Self-Directed/Retail segment ADV.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terms of revenue capture on our transactional volumes as compared to the prior fiscal year, we experienced: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Rate per contract (“RPC”) on listed derivatives increased 40%, due to client mix as well as the acquisition of RJO.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OTC derivatives RPC increased 48%, compared to the prior year period which had historically low spreads captured.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35% growth in securities rate per million (“RPM”), primarily due to improved performance in both global equity and fixed income markets.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30% decline in FX/CFD RPM, compared to a historically strong RPM in the prior year period.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a 10% decline in payments RPM due to generally lower FX spreads in certain markets, most notably in Africa.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fee income earned on client balances increased $66.1 million, principally driven by the acquisition of RJO, which contributed $63.8 million in interest and fee income earned on client balances on an additional $5.8 billion in average client equity contributed by RJO, helping to drive the 100% growth in average client equity.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on corporate funding increased $11.1 million, principally due to the issuance of $625 million in aggregate principal amount of the Notes due 2032, which closed on July 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the expense side, we continued to focus on maintaining our variable cost model and limiting the growth of our non-variable expenses. Variable expenses were 58% of total expenses in the three months ended December 31, 2025 as compared to 52% in the three months ended December 31, 2024. Non-variable expenses, excluding bad debts, increased $76.2 million, including $44.3 million in the acquired RJO and Benchmark businesses.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increased $53.9 million to $139.0 million in the three months ended December 31, 2025. Diluted earnings per share was $2.50 for the three months ended December 31, 2025 compared to $1.69 in the three months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Selected Summary Financial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Results of Operations</w:t>
      </w:r>
    </w:p>
    <w:p>
      <w:pPr>
        <w:pStyle w:val="TextBody"/>
        <w:bidi w:val="0"/>
        <w:spacing w:lineRule="auto" w:line="268" w:before="0" w:after="0"/>
        <w:jc w:val="left"/>
        <w:rPr/>
      </w:pPr>
      <w:r>
        <w:rPr>
          <w:rFonts w:ascii="Times New Roman;serif" w:hAnsi="Times New Roman;serif"/>
          <w:b w:val="false"/>
          <w:color w:val="000000"/>
          <w:sz w:val="20"/>
        </w:rPr>
        <w:t>Our total revenues, as reported, combine gross revenues for the physical commodities business and net revenues for all other businesses. Management believes that operating revenues, which deduct the cost of sales of physical commodities from total revenues, are a more useful financial measure with which to assess our results of operations.</w:t>
      </w:r>
      <w:r>
        <w:rPr>
          <w:color w:val="000000"/>
        </w:rPr>
        <w:t xml:space="preserve"> </w:t>
      </w:r>
      <w:r>
        <w:rPr>
          <w:rFonts w:ascii="Times New Roman;serif" w:hAnsi="Times New Roman;serif"/>
          <w:b w:val="false"/>
          <w:color w:val="000000"/>
          <w:sz w:val="20"/>
        </w:rPr>
        <w:t xml:space="preserve">The table below sets forth our operating revenues, as well as other key financial measures, for the periods indicated. </w:t>
      </w:r>
    </w:p>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color w:val="000000"/>
          <w:sz w:val="20"/>
        </w:rPr>
        <w:t>Financial Information (Unaudited)</w:t>
      </w:r>
      <w:r>
        <w:rPr>
          <w:color w:val="000000"/>
        </w:rPr>
        <w:t> </w:t>
      </w:r>
    </w:p>
    <w:tbl>
      <w:tblPr>
        <w:tblW w:w="10205" w:type="dxa"/>
        <w:jc w:val="center"/>
        <w:tblInd w:w="0" w:type="dxa"/>
        <w:tblLayout w:type="fixed"/>
        <w:tblCellMar>
          <w:top w:w="28" w:type="dxa"/>
          <w:left w:w="28" w:type="dxa"/>
          <w:bottom w:w="28" w:type="dxa"/>
          <w:right w:w="28" w:type="dxa"/>
        </w:tblCellMar>
      </w:tblPr>
      <w:tblGrid>
        <w:gridCol w:w="1867"/>
        <w:gridCol w:w="1199"/>
        <w:gridCol w:w="1204"/>
        <w:gridCol w:w="290"/>
        <w:gridCol w:w="1157"/>
        <w:gridCol w:w="357"/>
        <w:gridCol w:w="161"/>
        <w:gridCol w:w="161"/>
        <w:gridCol w:w="161"/>
        <w:gridCol w:w="290"/>
        <w:gridCol w:w="1157"/>
        <w:gridCol w:w="357"/>
        <w:gridCol w:w="161"/>
        <w:gridCol w:w="161"/>
        <w:gridCol w:w="161"/>
        <w:gridCol w:w="396"/>
        <w:gridCol w:w="396"/>
        <w:gridCol w:w="569"/>
      </w:tblGrid>
      <w:tr>
        <w:trPr/>
        <w:tc>
          <w:tcPr>
            <w:tcW w:w="186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37,689.1 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27,051.1 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39,029.9 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27,935.3 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corporate funding</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508.5 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w:t>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184.9 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Return on equity (“ROE”)</w:t>
            </w:r>
            <w:r>
              <w:rPr>
                <w:rFonts w:ascii="Times New Roman;serif" w:hAnsi="Times New Roman;serif"/>
                <w:b w:val="false"/>
                <w:color w:val="000000"/>
                <w:sz w:val="10"/>
              </w:rPr>
              <w:t>(1)</w:t>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Company calculates ROE on stated book value based on net income divided by the average stockholders’ equity, calculated based on average monthly equity amounts.</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Sheet information:</w:t>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47,784.4 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29,585.3 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Payables to lenders under loans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4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secured borrowings, net</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113%</w:t>
            </w:r>
          </w:p>
        </w:tc>
      </w:tr>
      <w:tr>
        <w:trPr/>
        <w:tc>
          <w:tcPr>
            <w:tcW w:w="4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2,522.2 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1,777.4 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4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n/m = not meaningful to present as a percentage</w:t>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60"/>
        <w:jc w:val="left"/>
        <w:rPr>
          <w:rFonts w:ascii="Times New Roman;serif" w:hAnsi="Times New Roman;serif"/>
          <w:b w:val="false"/>
          <w:color w:val="000000"/>
          <w:sz w:val="20"/>
        </w:rPr>
      </w:pPr>
      <w:r>
        <w:rPr>
          <w:rFonts w:ascii="Times New Roman;serif" w:hAnsi="Times New Roman;serif"/>
          <w:b w:val="false"/>
          <w:color w:val="000000"/>
          <w:sz w:val="20"/>
        </w:rPr>
        <w:t>The tables below present operating revenues disaggregated across the key products we provide to our clients and select operating data and metrics used by management in evaluating our performance, for the periods indicated.</w:t>
      </w:r>
    </w:p>
    <w:tbl>
      <w:tblPr>
        <w:tblW w:w="8017" w:type="dxa"/>
        <w:jc w:val="left"/>
        <w:tblInd w:w="0" w:type="dxa"/>
        <w:tblLayout w:type="fixed"/>
        <w:tblCellMar>
          <w:top w:w="28" w:type="dxa"/>
          <w:left w:w="28" w:type="dxa"/>
          <w:bottom w:w="28" w:type="dxa"/>
          <w:right w:w="28" w:type="dxa"/>
        </w:tblCellMar>
      </w:tblPr>
      <w:tblGrid>
        <w:gridCol w:w="1627"/>
        <w:gridCol w:w="1431"/>
        <w:gridCol w:w="1442"/>
        <w:gridCol w:w="196"/>
        <w:gridCol w:w="691"/>
        <w:gridCol w:w="109"/>
        <w:gridCol w:w="109"/>
        <w:gridCol w:w="109"/>
        <w:gridCol w:w="109"/>
        <w:gridCol w:w="196"/>
        <w:gridCol w:w="646"/>
        <w:gridCol w:w="109"/>
        <w:gridCol w:w="109"/>
        <w:gridCol w:w="109"/>
        <w:gridCol w:w="109"/>
        <w:gridCol w:w="268"/>
        <w:gridCol w:w="268"/>
        <w:gridCol w:w="380"/>
      </w:tblGrid>
      <w:tr>
        <w:trPr/>
        <w:tc>
          <w:tcPr>
            <w:tcW w:w="1627"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Revenues (in millions):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141%</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Over-the-counter (“OTC”) derivatives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 Contracts For Difference (“CFD”)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 fees earned on client balances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Eliminations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Volumes and Other Select Data: </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(contracts, 000’s) </w:t>
            </w:r>
            <w:r>
              <w:rPr>
                <w:rFonts w:ascii="Times New Roman;serif" w:hAnsi="Times New Roman;serif"/>
                <w:b w:val="false"/>
                <w:color w:val="000000"/>
                <w:sz w:val="10"/>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average rate per contract </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client equity - listed derivatives (millions) </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rate per contract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average daily volume (“ADV”)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Securities rate per million (“RPM”) </w:t>
            </w:r>
            <w:r>
              <w:rPr>
                <w:rFonts w:ascii="Times New Roman;serif" w:hAnsi="Times New Roman;serif"/>
                <w:b w:val="false"/>
                <w:color w:val="000000"/>
                <w:sz w:val="10"/>
              </w:rPr>
              <w:t>(4)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 / FDIC sweep client balances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FX/CFD contracts RPM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Adjusted EBITDA</w:t>
            </w:r>
            <w:r>
              <w:rPr>
                <w:rFonts w:ascii="Times New Roman;serif" w:hAnsi="Times New Roman;serif"/>
                <w:b w:val="false"/>
                <w:color w:val="000000"/>
                <w:sz w:val="10"/>
              </w:rPr>
              <w:t>(4)</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operating revenues primarily includes consulting, management and account fees related to prime services, investment banking and advisory services, as well as interest income associated with securities lending activities.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30.9 million listed derivative contracts in the three months ended December 31, 2025. Also, for the three months ended December 31, 2025, the average client equity includes the effect of an incremental $5.8 billion per month from RJO post-acquisition.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 up fee revenues, related to contract execution for clients of other FCMs, as well as cash and voice brokerage revenues are excluded from the calculation of listed derivatives, average rate per contract.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(4)</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associated with our fixed income activities is deducted from operating revenues in the calculation of Securities RPM, while interest income related to securities lending is excluded.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(5)</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 is a non-GAAP measure. See Liquidity, Financial Condition and Capital Resources - Non-GAAP Financial Information for further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Revenues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December 31, 2025 Compared to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increased $493.9 million, or 52%, to $1,438.2 million in the three months ended December 31, 2025 compared to $944.3 million in the three months ended December 31, 2024. The acquisition of RJO, which was effective July 31, 2025, contributed $201.0 million in operating revenue in the three months ended December 31, 2025. The table above displays operating revenues disaggregated across the key products we provide to our clients.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listed derivatives increased $157.3 million, with our Commercial and Institutional segments up $71.7 million and $85.6 million,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derived from OTC derivatives increased $26.5 million, principally driven by a 48% increase in the average RPC as well as a 17% increase in OTC derivative contract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derived from securities transactions increased $174.1 million, principally due to a 22% increase in ADV, driven by increases in both equity and fixed income markets. Carried interest on fixed income securities is a component of operating revenues, however interest expense associated with financing these positions is not. We deduct interest expense associated with our fixed income activities from operating revenues in the calculation of securities RPM in the table above in order to provide a more useful measure of the financial performance of our securities business. Net operating revenues derived from securities transactions increased $55.7 million, due to the increase in ADV noted above, as well as a 35% increase in the RPM.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FX/CFD contracts declined $29.9 million, as a result of a $27.2 million decrease in our Self-Directed/Retail segment and a $2.7 million decrease in Institutional segment FX contracts operating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from payments decreased $2.2 million, principally driven by a 10% decline in payments RPM, which was partially offset by an 11% increase in payments ADV.</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physical contracts increased $64.1 million, as a result of an $83.9 million increase in precious metals operating revenues, principally driven by an increase in macro volatility, driving a strong increase in client demand, combined with our expansive global footprint allowing us to benefit from regional differences in premiums, which was partially offset by a $19.8 million decline in physical agricultural and energy operating revenues. Precious metals related operating revenues were unfavorably impacted by $3.0 million unrealized losses on derivative positions related to physical inventories carried at the lower of cost or net realizable value, while the prior year period was favorably impacted by realized gains of $4.7 million on the sale of physical inventories carried at the lower of costs or net realizable value, for which losses on related derivative positions were recognized in prior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fee income earned on client balances, which is associated with our listed and OTC derivative businesses, as well as our Correspondent Clearing and Independent Wealth Management businesses, increased $66.1 million, principally as a result of an increase in average client equity and average money-market/FDIC sweep client balances of 100% and 5%, respectively. The acquisition of RJO, contributed $63.7 million in growth to interest and fee income earned on client balances and $5.8 billion in average client equity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Interest and Transactional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Three Months Ended December 31, 2025 Compared to Three Months Ended December 31, 2024</w:t>
      </w:r>
    </w:p>
    <w:p>
      <w:pPr>
        <w:pStyle w:val="TextBody"/>
        <w:bidi w:val="0"/>
        <w:spacing w:lineRule="auto" w:line="288" w:before="120" w:after="283"/>
        <w:jc w:val="left"/>
        <w:rPr/>
      </w:pPr>
      <w:r>
        <w:rPr>
          <w:rFonts w:ascii="Times New Roman;serif" w:hAnsi="Times New Roman;serif"/>
          <w:b w:val="false"/>
          <w:color w:val="000000"/>
          <w:sz w:val="20"/>
          <w:u w:val="single"/>
        </w:rPr>
        <w:t>Transaction-based clearing expenses</w:t>
      </w:r>
      <w:r>
        <w:rPr>
          <w:color w:val="000000"/>
        </w:rPr>
        <w:t xml:space="preserve"> </w:t>
      </w:r>
    </w:p>
    <w:tbl>
      <w:tblPr>
        <w:tblW w:w="6965" w:type="dxa"/>
        <w:jc w:val="left"/>
        <w:tblInd w:w="0" w:type="dxa"/>
        <w:tblLayout w:type="fixed"/>
        <w:tblCellMar>
          <w:top w:w="28" w:type="dxa"/>
          <w:left w:w="28" w:type="dxa"/>
          <w:bottom w:w="28" w:type="dxa"/>
          <w:right w:w="28" w:type="dxa"/>
        </w:tblCellMar>
      </w:tblPr>
      <w:tblGrid>
        <w:gridCol w:w="956"/>
        <w:gridCol w:w="841"/>
        <w:gridCol w:w="843"/>
        <w:gridCol w:w="196"/>
        <w:gridCol w:w="556"/>
        <w:gridCol w:w="109"/>
        <w:gridCol w:w="109"/>
        <w:gridCol w:w="109"/>
        <w:gridCol w:w="109"/>
        <w:gridCol w:w="196"/>
        <w:gridCol w:w="466"/>
        <w:gridCol w:w="109"/>
        <w:gridCol w:w="109"/>
        <w:gridCol w:w="109"/>
        <w:gridCol w:w="109"/>
        <w:gridCol w:w="202"/>
        <w:gridCol w:w="481"/>
        <w:gridCol w:w="113"/>
        <w:gridCol w:w="109"/>
        <w:gridCol w:w="109"/>
        <w:gridCol w:w="109"/>
        <w:gridCol w:w="268"/>
        <w:gridCol w:w="268"/>
        <w:gridCol w:w="380"/>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Percentage of operating revenues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business activities of RJO added $36.3 million of increased expenses. Excluding RJO, expenses were higher in our Global Hedging (f/k/a Financial Ag &amp; Energy) and Exchange-Traded Futures &amp; Options businesses, principally related to the increase in contracts traded. Additionally, expenses were higher in the Global Metals business, principally related to LME activity, and Equity Capital Markets business, principally related to an increase in ADR conversion fees in equities principal market-making.</w:t>
      </w:r>
    </w:p>
    <w:p>
      <w:pPr>
        <w:pStyle w:val="TextBody"/>
        <w:bidi w:val="0"/>
        <w:spacing w:lineRule="auto" w:line="288" w:before="18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Introducing broker commissions</w:t>
      </w:r>
    </w:p>
    <w:tbl>
      <w:tblPr>
        <w:tblW w:w="6679" w:type="dxa"/>
        <w:jc w:val="left"/>
        <w:tblInd w:w="0" w:type="dxa"/>
        <w:tblLayout w:type="fixed"/>
        <w:tblCellMar>
          <w:top w:w="28" w:type="dxa"/>
          <w:left w:w="28" w:type="dxa"/>
          <w:bottom w:w="28" w:type="dxa"/>
          <w:right w:w="28" w:type="dxa"/>
        </w:tblCellMar>
      </w:tblPr>
      <w:tblGrid>
        <w:gridCol w:w="885"/>
        <w:gridCol w:w="777"/>
        <w:gridCol w:w="782"/>
        <w:gridCol w:w="196"/>
        <w:gridCol w:w="466"/>
        <w:gridCol w:w="109"/>
        <w:gridCol w:w="109"/>
        <w:gridCol w:w="109"/>
        <w:gridCol w:w="109"/>
        <w:gridCol w:w="196"/>
        <w:gridCol w:w="466"/>
        <w:gridCol w:w="109"/>
        <w:gridCol w:w="109"/>
        <w:gridCol w:w="109"/>
        <w:gridCol w:w="109"/>
        <w:gridCol w:w="202"/>
        <w:gridCol w:w="481"/>
        <w:gridCol w:w="113"/>
        <w:gridCol w:w="109"/>
        <w:gridCol w:w="109"/>
        <w:gridCol w:w="109"/>
        <w:gridCol w:w="268"/>
        <w:gridCol w:w="268"/>
        <w:gridCol w:w="380"/>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110%</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Percentage of operating revenues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business activities of RJO added $45.0 million of increased expenses. Also, expenses were higher in our Independent Wealth Management business, principally due to increased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w:t>
      </w:r>
    </w:p>
    <w:tbl>
      <w:tblPr>
        <w:tblW w:w="10205" w:type="dxa"/>
        <w:jc w:val="left"/>
        <w:tblInd w:w="0" w:type="dxa"/>
        <w:tblLayout w:type="fixed"/>
        <w:tblCellMar>
          <w:top w:w="28" w:type="dxa"/>
          <w:left w:w="28" w:type="dxa"/>
          <w:bottom w:w="28" w:type="dxa"/>
          <w:right w:w="28" w:type="dxa"/>
        </w:tblCellMar>
      </w:tblPr>
      <w:tblGrid>
        <w:gridCol w:w="2072"/>
        <w:gridCol w:w="1818"/>
        <w:gridCol w:w="1825"/>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202"/>
        <w:gridCol w:w="202"/>
        <w:gridCol w:w="522"/>
      </w:tblGrid>
      <w:tr>
        <w:trPr/>
        <w:tc>
          <w:tcPr>
            <w:tcW w:w="2072"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Institutional dealer in fixed income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borrowing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Client balances on deposit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financing facilities of subsidiaries and other direct interest of operating segments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 funding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interest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5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interest expense attributable to fixed income securities and securities borrowing was principally due to the growth in the size of the security repo and securities lending businesses. The business activities of RJO added an incremental $26.7 million of interest expense, with $24.3 million attributable to client balances.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increase in interest expense attributable to corporate funding was principally due to the issuance of $625 million in aggregate principal amount of the Notes due 2032, which closed on July 8, 2025.</w:t>
      </w: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Net Operating Revenues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operating revenues is one of the key measures used by management to assess operating segment performance. Net operating revenue is calculated as operating revenue less transaction-based clearing expenses, introducing broker commissions and interest expense. Transaction-based clearing expenses represent variable expenses paid to executing brokers, exchanges, clearing organizations and banks in relation to our transactional volumes. Introducing broker commissions include commission paid to non-employee third parties that have introduced clients to us. Net operating revenues represent revenues available to pay variable compensation to risk management consultants and traders and direct non-variable expenses, as well as variable and non-variable expenses of operational and administrative employees, including our executive management team.</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disaggregation of consolidated net operating revenues used by management in evaluating our performance, for the periods indicated:</w:t>
      </w:r>
    </w:p>
    <w:tbl>
      <w:tblPr>
        <w:tblW w:w="6411" w:type="dxa"/>
        <w:jc w:val="left"/>
        <w:tblInd w:w="0" w:type="dxa"/>
        <w:tblLayout w:type="fixed"/>
        <w:tblCellMar>
          <w:top w:w="28" w:type="dxa"/>
          <w:left w:w="28" w:type="dxa"/>
          <w:bottom w:w="28" w:type="dxa"/>
          <w:right w:w="28" w:type="dxa"/>
        </w:tblCellMar>
      </w:tblPr>
      <w:tblGrid>
        <w:gridCol w:w="1129"/>
        <w:gridCol w:w="993"/>
        <w:gridCol w:w="997"/>
        <w:gridCol w:w="196"/>
        <w:gridCol w:w="556"/>
        <w:gridCol w:w="109"/>
        <w:gridCol w:w="109"/>
        <w:gridCol w:w="109"/>
        <w:gridCol w:w="109"/>
        <w:gridCol w:w="196"/>
        <w:gridCol w:w="556"/>
        <w:gridCol w:w="109"/>
        <w:gridCol w:w="109"/>
        <w:gridCol w:w="109"/>
        <w:gridCol w:w="109"/>
        <w:gridCol w:w="268"/>
        <w:gridCol w:w="268"/>
        <w:gridCol w:w="380"/>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137%</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net / 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Other </w:t>
            </w:r>
            <w:r>
              <w:rPr>
                <w:rFonts w:ascii="Times New Roman;serif" w:hAnsi="Times New Roman;serif"/>
                <w:b w:val="false"/>
                <w:color w:val="000000"/>
                <w:sz w:val="10"/>
              </w:rPr>
              <w:t>(1)</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112%</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Corporate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net operating revenues primarily includes consulting, management and account fees related to prime services, investment banking and advisory services, as well as interest income, net of interest expense associated with securities lending activities.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color w:val="000000"/>
          <w:sz w:val="20"/>
        </w:rPr>
      </w:pPr>
      <w:r>
        <w:rPr>
          <w:rFonts w:ascii="Times New Roman;serif" w:hAnsi="Times New Roman;serif"/>
          <w:b/>
          <w:color w:val="000000"/>
          <w:sz w:val="20"/>
        </w:rPr>
        <w:t>Compensation and Other Expenses</w:t>
      </w:r>
    </w:p>
    <w:p>
      <w:pPr>
        <w:pStyle w:val="TextBody"/>
        <w:bidi w:val="0"/>
        <w:spacing w:lineRule="auto" w:line="288" w:before="120" w:after="283"/>
        <w:jc w:val="left"/>
        <w:rPr/>
      </w:pPr>
      <w:r>
        <w:rPr>
          <w:rFonts w:ascii="Times New Roman;serif" w:hAnsi="Times New Roman;serif"/>
          <w:b w:val="false"/>
          <w:color w:val="000000"/>
          <w:sz w:val="20"/>
        </w:rPr>
        <w:t>The following table presents a summary of expenses, other than interest and transactional expenses.</w:t>
      </w:r>
      <w:r>
        <w:rPr>
          <w:color w:val="000000"/>
        </w:rPr>
        <w:t> </w:t>
      </w:r>
    </w:p>
    <w:tbl>
      <w:tblPr>
        <w:tblW w:w="6231" w:type="dxa"/>
        <w:jc w:val="left"/>
        <w:tblInd w:w="0" w:type="dxa"/>
        <w:tblLayout w:type="fixed"/>
        <w:tblCellMar>
          <w:top w:w="28" w:type="dxa"/>
          <w:left w:w="28" w:type="dxa"/>
          <w:bottom w:w="28" w:type="dxa"/>
          <w:right w:w="28" w:type="dxa"/>
        </w:tblCellMar>
      </w:tblPr>
      <w:tblGrid>
        <w:gridCol w:w="1064"/>
        <w:gridCol w:w="933"/>
        <w:gridCol w:w="942"/>
        <w:gridCol w:w="196"/>
        <w:gridCol w:w="556"/>
        <w:gridCol w:w="109"/>
        <w:gridCol w:w="109"/>
        <w:gridCol w:w="109"/>
        <w:gridCol w:w="109"/>
        <w:gridCol w:w="196"/>
        <w:gridCol w:w="556"/>
        <w:gridCol w:w="109"/>
        <w:gridCol w:w="109"/>
        <w:gridCol w:w="109"/>
        <w:gridCol w:w="109"/>
        <w:gridCol w:w="268"/>
        <w:gridCol w:w="268"/>
        <w:gridCol w:w="380"/>
      </w:tblGrid>
      <w:tr>
        <w:trP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76%</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compensation and other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 w:after="120"/>
        <w:jc w:val="left"/>
        <w:rPr>
          <w:rFonts w:ascii="Times New Roman;serif" w:hAnsi="Times New Roman;serif"/>
          <w:b w:val="false"/>
          <w:i/>
          <w:color w:val="000000"/>
          <w:sz w:val="20"/>
        </w:rPr>
      </w:pPr>
      <w:r>
        <w:rPr>
          <w:rFonts w:ascii="Times New Roman;serif" w:hAnsi="Times New Roman;serif"/>
          <w:b w:val="false"/>
          <w:i/>
          <w:color w:val="000000"/>
          <w:sz w:val="20"/>
        </w:rPr>
        <w:t>Three Months Ended December 31, 2025 Compared to Three Months Ended December 31, 2024</w:t>
      </w:r>
    </w:p>
    <w:p>
      <w:pPr>
        <w:pStyle w:val="TextBody"/>
        <w:bidi w:val="0"/>
        <w:spacing w:lineRule="auto" w:line="288" w:before="120" w:after="180"/>
        <w:jc w:val="left"/>
        <w:rPr/>
      </w:pPr>
      <w:r>
        <w:rPr>
          <w:rFonts w:ascii="Times New Roman;serif" w:hAnsi="Times New Roman;serif"/>
          <w:b/>
          <w:color w:val="000000"/>
          <w:sz w:val="20"/>
        </w:rPr>
        <w:t>Compensation and Other Expenses:</w:t>
      </w:r>
      <w:r>
        <w:rPr>
          <w:color w:val="000000"/>
        </w:rPr>
        <w:t xml:space="preserve"> </w:t>
      </w:r>
      <w:r>
        <w:rPr>
          <w:rFonts w:ascii="Times New Roman;serif" w:hAnsi="Times New Roman;serif"/>
          <w:b w:val="false"/>
          <w:color w:val="000000"/>
          <w:sz w:val="20"/>
        </w:rPr>
        <w:t xml:space="preserve">Compensation and other expenses increased $158.2 million, or 42%, to $539.1 million in the three months ended December 31, 2025 compared to $380.9 million in the three months ended December 31, 2024, principally due to the acquisitions of RJO, Benchmark and others, as discussed further below.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 xml:space="preserve">Compensation and Benefits: </w:t>
      </w:r>
    </w:p>
    <w:tbl>
      <w:tblPr>
        <w:tblW w:w="9964" w:type="dxa"/>
        <w:jc w:val="left"/>
        <w:tblInd w:w="0" w:type="dxa"/>
        <w:tblLayout w:type="fixed"/>
        <w:tblCellMar>
          <w:top w:w="28" w:type="dxa"/>
          <w:left w:w="28" w:type="dxa"/>
          <w:bottom w:w="28" w:type="dxa"/>
          <w:right w:w="28" w:type="dxa"/>
        </w:tblCellMar>
      </w:tblPr>
      <w:tblGrid>
        <w:gridCol w:w="2008"/>
        <w:gridCol w:w="1762"/>
        <w:gridCol w:w="1779"/>
        <w:gridCol w:w="196"/>
        <w:gridCol w:w="556"/>
        <w:gridCol w:w="109"/>
        <w:gridCol w:w="109"/>
        <w:gridCol w:w="109"/>
        <w:gridCol w:w="109"/>
        <w:gridCol w:w="196"/>
        <w:gridCol w:w="556"/>
        <w:gridCol w:w="109"/>
        <w:gridCol w:w="109"/>
        <w:gridCol w:w="109"/>
        <w:gridCol w:w="109"/>
        <w:gridCol w:w="202"/>
        <w:gridCol w:w="481"/>
        <w:gridCol w:w="113"/>
        <w:gridCol w:w="109"/>
        <w:gridCol w:w="109"/>
        <w:gridCol w:w="109"/>
        <w:gridCol w:w="268"/>
        <w:gridCol w:w="268"/>
        <w:gridCol w:w="380"/>
      </w:tblGrid>
      <w:tr>
        <w:trPr/>
        <w:tc>
          <w:tcPr>
            <w:tcW w:w="2008"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5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Front office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Administrative, executive, and centralized and local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variable compensation and benefits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62%</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Variable compensation and benefits as a percentage of net operating revenues</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Non-variable salaries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benefits and other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benefits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compensation and benefits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Total compensation and benefits as a percentage of operating revenues</w:t>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Number of employees, end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Administrative, executive, and centralized and local operations variable compensation and benefits decreased principally due to a recovery of certain benefit liabilities established in the U.K. over the last three fiscal years.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Incremental cost from recent acquisitions completed since December 31, 2024 added $15.5 million of non-variable salary expense during the three months ended December 31, 2025. The additional increase of $6.3 million is principally due to growth in our business segments, as well as within our overhead departments, principally due to the increase in headcount, as well as the impact of annual merit increases that were effective at the beginning of the calendar year ended December 31, 2025.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Employee benefits and other compensation increased principally due to higher payroll taxes, retirement costs, and healthcare benefits principally related to the increase in headcount, and were partially offset by an increase in employee-elected deferred incentive. Additionally, the three months ended December 31, 2024 included $0.9 million in accelerated long-term incentive due to the departure of an executive officer.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Share-based compensation, which contains stock option and restricted stock expenses, increased principally due to the issuance of additional stock option awards and additional restricted stock grants since December 31, 2024, as well as from increased restricted stock amortization related to employee-elected and statutorily-required deferred incentive, which results in cash exchanged for restricted stock that is amortized over a thirty-six month period following the grant date. The three months ended December 31, 2024 also included $1.1 million in accelerated share-based compensation due to the departure of an executive officer.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December 31, 2024, severance costs included amounts related to the departure of an executive officer mentioned above. </w:t>
      </w:r>
    </w:p>
    <w:p>
      <w:pPr>
        <w:pStyle w:val="TextBody"/>
        <w:bidi w:val="0"/>
        <w:spacing w:lineRule="auto" w:line="288" w:before="120" w:after="120"/>
        <w:jc w:val="left"/>
        <w:rPr/>
      </w:pPr>
      <w:r>
        <w:rPr>
          <w:rFonts w:ascii="Times New Roman;serif" w:hAnsi="Times New Roman;serif"/>
          <w:b/>
          <w:i/>
          <w:color w:val="000000"/>
          <w:sz w:val="20"/>
        </w:rPr>
        <w:t>Other Expenses:</w:t>
      </w:r>
      <w:r>
        <w:rPr>
          <w:color w:val="000000"/>
        </w:rPr>
        <w:t xml:space="preserve"> </w:t>
      </w:r>
      <w:r>
        <w:rPr>
          <w:rFonts w:ascii="Times New Roman;serif" w:hAnsi="Times New Roman;serif"/>
          <w:b w:val="false"/>
          <w:color w:val="000000"/>
          <w:sz w:val="20"/>
        </w:rPr>
        <w:t xml:space="preserve">Other non-compensation expenses increased $54.8 million, or 43%, to $183.2 million in the three months ended December 31, 2025 compared to $128.4 million in the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Professional fees increased $13.8 million, principally due to higher legal fees related to our defense in various legal matters, net of recoveries, including fees related to the BTIG matter, which saw the arbitration commence during the three months ended December 31, 2025. To a lesser extent, higher audit and tax fees also contributed to the increase. Incremental cost from acquired entities completed since December 31, 2024 added $4.5 million of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Non-trading technology and support increased $6.9 million, principally due to an increase in headcount driven technology costs and compliance costs. Incremental cost from acquisitions completed since December 31, 2024 added $3.8 million of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Occupancy and equipment rental costs increased $3.1 million, as incremental cost from acquisitions completed since December 31, 2024 added $2.3 million of expense. Additionally, we had increased office costs in Singapore and Colombia, along with an increase in property service charges, utilities and storage costs.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Travel and business development increased $3.4 million, principally due to an increase in transportation and employee and client meals and entertainment costs. Incremental cost from acquired entities completed since December 31, 2024 added $2.1 million of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increased $9.3 million, principally due to $7.1 million of incremental amortization of acquired intangibles from the acquisitions completed since December 31, 2024, and $1.7 million of incremental depreciation expense from internally developed software placed into service.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Other expenses increased $10.2 million, principally due to a proposed settlement in a Self-Directed/Retail Forex matter, accretion of the contingent consideration liability related to the Benchmark acquisition, and higher insurance costs.</w:t>
      </w:r>
    </w:p>
    <w:p>
      <w:pPr>
        <w:pStyle w:val="TextBody"/>
        <w:bidi w:val="0"/>
        <w:spacing w:lineRule="auto" w:line="288" w:before="120" w:after="120"/>
        <w:jc w:val="left"/>
        <w:rPr/>
      </w:pPr>
      <w:r>
        <w:rPr>
          <w:rFonts w:ascii="Times New Roman;serif" w:hAnsi="Times New Roman;serif"/>
          <w:b/>
          <w:color w:val="000000"/>
          <w:sz w:val="20"/>
        </w:rPr>
        <w:t>Other Gains:</w:t>
      </w:r>
      <w:r>
        <w:rPr>
          <w:color w:val="000000"/>
        </w:rPr>
        <w:t xml:space="preserve"> </w:t>
      </w:r>
      <w:r>
        <w:rPr>
          <w:rFonts w:ascii="Times New Roman;serif" w:hAnsi="Times New Roman;serif"/>
          <w:b w:val="false"/>
          <w:color w:val="000000"/>
          <w:sz w:val="20"/>
        </w:rPr>
        <w:t>The results of the three months ended December 31, 2025 include a $0.4 million loss on an equity investment. The results of the three months ended December 31, 2024 include nonrecurring gains of $5.7 million, resulting from proceeds received from class action settlements, reported within the Self-Directed/Retail and Institutional segments.</w:t>
      </w:r>
    </w:p>
    <w:p>
      <w:pPr>
        <w:pStyle w:val="TextBody"/>
        <w:bidi w:val="0"/>
        <w:spacing w:lineRule="auto" w:line="288" w:before="0" w:after="180"/>
        <w:jc w:val="left"/>
        <w:rPr/>
      </w:pPr>
      <w:r>
        <w:rPr>
          <w:rFonts w:ascii="Times New Roman;serif" w:hAnsi="Times New Roman;serif"/>
          <w:b/>
          <w:color w:val="000000"/>
          <w:sz w:val="20"/>
        </w:rPr>
        <w:t>Provision for Taxes:</w:t>
      </w:r>
      <w:r>
        <w:rPr>
          <w:color w:val="000000"/>
        </w:rPr>
        <w:t xml:space="preserve"> </w:t>
      </w:r>
      <w:r>
        <w:rPr>
          <w:rFonts w:ascii="Times New Roman;serif" w:hAnsi="Times New Roman;serif"/>
          <w:b w:val="false"/>
          <w:color w:val="000000"/>
          <w:sz w:val="20"/>
        </w:rPr>
        <w:t>The effective income tax rate was 25% and 27% in the three months ended December 31, 2025 and 2024, respectively. The effective tax rate for the three months ended December 31, 2025 and 2024 was higher than the U.S. federal statutory rate of 21% due to U.S. state and local taxes, global intangible low taxed income (“GILTI”), GloBE minimum tax, U.S. and foreign permanent differences, and the amount of foreign earnings taxed at higher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Variable vs. Fixed Expenses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presents our variable expenses and non-variable expenses as a percentage of total non-interest expenses for the periods indicated.</w:t>
      </w:r>
    </w:p>
    <w:tbl>
      <w:tblPr>
        <w:tblW w:w="8403" w:type="dxa"/>
        <w:jc w:val="left"/>
        <w:tblInd w:w="0" w:type="dxa"/>
        <w:tblLayout w:type="fixed"/>
        <w:tblCellMar>
          <w:top w:w="28" w:type="dxa"/>
          <w:left w:w="28" w:type="dxa"/>
          <w:bottom w:w="28" w:type="dxa"/>
          <w:right w:w="28" w:type="dxa"/>
        </w:tblCellMar>
      </w:tblPr>
      <w:tblGrid>
        <w:gridCol w:w="954"/>
        <w:gridCol w:w="837"/>
        <w:gridCol w:w="848"/>
        <w:gridCol w:w="109"/>
        <w:gridCol w:w="109"/>
        <w:gridCol w:w="190"/>
        <w:gridCol w:w="190"/>
        <w:gridCol w:w="190"/>
        <w:gridCol w:w="190"/>
        <w:gridCol w:w="190"/>
        <w:gridCol w:w="190"/>
        <w:gridCol w:w="341"/>
        <w:gridCol w:w="969"/>
        <w:gridCol w:w="190"/>
        <w:gridCol w:w="109"/>
        <w:gridCol w:w="109"/>
        <w:gridCol w:w="109"/>
        <w:gridCol w:w="169"/>
        <w:gridCol w:w="169"/>
        <w:gridCol w:w="171"/>
        <w:gridCol w:w="109"/>
        <w:gridCol w:w="109"/>
        <w:gridCol w:w="109"/>
        <w:gridCol w:w="196"/>
        <w:gridCol w:w="556"/>
        <w:gridCol w:w="109"/>
        <w:gridCol w:w="109"/>
        <w:gridCol w:w="109"/>
        <w:gridCol w:w="109"/>
        <w:gridCol w:w="162"/>
        <w:gridCol w:w="162"/>
        <w:gridCol w:w="231"/>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c>
          <w:tcPr>
            <w:tcW w:w="2906" w:type="dxa"/>
            <w:gridSpan w:val="18"/>
            <w:tcBorders/>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variable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non-variable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non-interest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764.9 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variable expenses include variable compensation paid to traders and risk management consultants, bonuses paid to operational, administrative, and executive employees, transaction-based clearing expenses and introducing broker commissions. We seek to make our non-interest expenses variable to the greatest extent possible, and to keep our fixed costs as low as possible.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are based principally on the nature of the clients we serve (commercial, institutional, and self-directed/retail), and a fourth operating segment, our payments business. We manage our business in this manner due to our large global footprint, in which we have more than 5,400 employees allowing us to serve clients in more than 180 countries.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our acquisition of RJO triggered a reassessment of the financial information reviewed by management. We determined the acquired business activities of RJO were similar to our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activities are managed as operating segments, which are our reportable segments for financial reporting purposes, as shown below. </w:t>
      </w:r>
    </w:p>
    <w:tbl>
      <w:tblPr>
        <w:tblW w:w="9031" w:type="dxa"/>
        <w:jc w:val="left"/>
        <w:tblInd w:w="0" w:type="dxa"/>
        <w:tblLayout w:type="fixed"/>
        <w:tblCellMar>
          <w:top w:w="28" w:type="dxa"/>
          <w:left w:w="28" w:type="dxa"/>
          <w:bottom w:w="28" w:type="dxa"/>
          <w:right w:w="28" w:type="dxa"/>
        </w:tblCellMar>
      </w:tblPr>
      <w:tblGrid>
        <w:gridCol w:w="412"/>
        <w:gridCol w:w="364"/>
        <w:gridCol w:w="364"/>
        <w:gridCol w:w="364"/>
        <w:gridCol w:w="364"/>
        <w:gridCol w:w="367"/>
        <w:gridCol w:w="109"/>
        <w:gridCol w:w="109"/>
        <w:gridCol w:w="109"/>
        <w:gridCol w:w="302"/>
        <w:gridCol w:w="302"/>
        <w:gridCol w:w="302"/>
        <w:gridCol w:w="302"/>
        <w:gridCol w:w="302"/>
        <w:gridCol w:w="304"/>
        <w:gridCol w:w="109"/>
        <w:gridCol w:w="109"/>
        <w:gridCol w:w="109"/>
        <w:gridCol w:w="344"/>
        <w:gridCol w:w="344"/>
        <w:gridCol w:w="344"/>
        <w:gridCol w:w="344"/>
        <w:gridCol w:w="344"/>
        <w:gridCol w:w="347"/>
        <w:gridCol w:w="109"/>
        <w:gridCol w:w="109"/>
        <w:gridCol w:w="109"/>
        <w:gridCol w:w="301"/>
        <w:gridCol w:w="301"/>
        <w:gridCol w:w="301"/>
        <w:gridCol w:w="301"/>
        <w:gridCol w:w="301"/>
        <w:gridCol w:w="429"/>
      </w:tblGrid>
      <w:tr>
        <w:trPr/>
        <w:tc>
          <w:tcPr>
            <w:tcW w:w="41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903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StoneX Group Inc.</w:t>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6"/>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Commercial</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Institutional</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06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Self-Directed/Retail</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934" w:type="dxa"/>
            <w:gridSpan w:val="6"/>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w:t>
            </w:r>
          </w:p>
        </w:tc>
      </w:tr>
      <w:tr>
        <w:trPr/>
        <w:tc>
          <w:tcPr>
            <w:tcW w:w="2235"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Primary Activities:</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1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Primary Activities:</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0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Primary Activities:</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934" w:type="dxa"/>
            <w:gridSpan w:val="6"/>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Primary Activities:</w:t>
            </w:r>
          </w:p>
        </w:tc>
      </w:tr>
      <w:tr>
        <w:trPr/>
        <w:tc>
          <w:tcPr>
            <w:tcW w:w="2235"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Hedging</w:t>
              <w:br/>
              <w:t>   (f/k/a Financial Ag &amp;</w:t>
              <w:br/>
              <w:t>    Energy)</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Capital </w:t>
              <w:br/>
              <w:t>     Markets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Forex/CFD</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934" w:type="dxa"/>
            <w:gridSpan w:val="6"/>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r>
      <w:tr>
        <w:trPr/>
        <w:tc>
          <w:tcPr>
            <w:tcW w:w="2235"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Global Metals</w:t>
              <w:br/>
              <w:t>   (f/k/a LME and Precious</w:t>
              <w:br/>
              <w:t>    Metals)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Prime Services</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Independent </w:t>
              <w:br/>
              <w:t>      Wealth Management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left w:val="single" w:sz="8" w:space="0" w:color="000000"/>
              <w:right w:val="single" w:sz="8" w:space="0" w:color="000000"/>
            </w:tcBorders>
            <w:tcMar>
              <w:top w:w="0" w:type="dxa"/>
              <w:left w:w="14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Payment Technology </w:t>
              <w:br/>
              <w:t>    Services</w:t>
            </w:r>
          </w:p>
        </w:tc>
      </w:tr>
      <w:tr>
        <w:trPr/>
        <w:tc>
          <w:tcPr>
            <w:tcW w:w="2235"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Physical Ag </w:t>
              <w:br/>
              <w:t>     &amp; Energy</w:t>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Debt Capital </w:t>
              <w:br/>
              <w:t>     Markets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934" w:type="dxa"/>
            <w:gridSpan w:val="6"/>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6"/>
            <w:tcBorders>
              <w:left w:val="single" w:sz="8" w:space="0" w:color="000000"/>
            </w:tcBorders>
            <w:tcMar>
              <w:top w:w="0" w:type="dxa"/>
              <w:left w:w="14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81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FX Prime Brokerage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Exchange-Traded </w:t>
              <w:br/>
              <w:t>     Futures &amp;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235"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6"/>
            <w:tcBorders>
              <w:left w:val="single" w:sz="8" w:space="0" w:color="000000"/>
              <w:bottom w:val="single" w:sz="8" w:space="0" w:color="000000"/>
            </w:tcBorders>
            <w:tcMar>
              <w:top w:w="0" w:type="dxa"/>
              <w:left w:w="14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Correspondent </w:t>
              <w:br/>
              <w:t>     Clearing</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6"/>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6"/>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Total revenues, operating revenues and net operating revenues shown as “Corporate” primarily consist of interest income from our centralized corporate treasury function. Corporate also includes net costs not allocated to operating segments, including costs and expenses of certain shared services such as information technology, accounting and treasury, credit and risk, legal and compliance, and human resources and other activities. For additional information regarding Corporate, see Note 18 to the Condensed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net operating revenues, net contribution and segment income are some of the key measures used by management to assess the performance of each segment and for decisions regarding the allocation of our resources. Operating revenues are calculated as total revenues less cost of sales of physical commodities.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operating revenues are calculated as operating revenues less transaction-based clearing expenses, introducing broker commissions and interest expense.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Net contribution is calculated as net operating revenues less variable compensation. Variable compensation paid to risk management consultants and traders generally represents a fixed percentage that can vary by revenue type. This fixed percentage is applied to revenues generated, and in some cases, revenues generated less transaction-based clearing expenses, base salaries and other expenses/allocations.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Segment income is calculated as net contribution less non-variable direct segment costs. These non-variable direct expenses include trader base compensation and benefits, operational charges, trading systems and market information, professional fees, travel and business development, communications, bad debts, trade errors and direct marketing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Segment income is used by our chief operating decision maker (“CODM”) as the primary measure of segment profit or loss in the evaluation of each of our operating segments. The CODM also uses ‘Segment income, less allocation of overhead costs’ as an additional segment measure of our segments’ financial performance.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The measure of segment profit or loss most consistent with the corresponding amounts in the consolidated financial statements is segment income.</w:t>
      </w: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Total Segment Results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The following table shows summary information concerning all of our business segments on a combined basis, excluding Corporate, for the periods indicated.</w:t>
      </w:r>
    </w:p>
    <w:tbl>
      <w:tblPr>
        <w:tblW w:w="10205" w:type="dxa"/>
        <w:jc w:val="left"/>
        <w:tblInd w:w="0" w:type="dxa"/>
        <w:tblLayout w:type="fixed"/>
        <w:tblCellMar>
          <w:top w:w="28" w:type="dxa"/>
          <w:left w:w="28" w:type="dxa"/>
          <w:bottom w:w="28" w:type="dxa"/>
          <w:right w:w="28" w:type="dxa"/>
        </w:tblCellMar>
      </w:tblPr>
      <w:tblGrid>
        <w:gridCol w:w="1424"/>
        <w:gridCol w:w="945"/>
        <w:gridCol w:w="949"/>
        <w:gridCol w:w="196"/>
        <w:gridCol w:w="781"/>
        <w:gridCol w:w="109"/>
        <w:gridCol w:w="109"/>
        <w:gridCol w:w="109"/>
        <w:gridCol w:w="109"/>
        <w:gridCol w:w="613"/>
        <w:gridCol w:w="613"/>
        <w:gridCol w:w="615"/>
        <w:gridCol w:w="109"/>
        <w:gridCol w:w="109"/>
        <w:gridCol w:w="109"/>
        <w:gridCol w:w="196"/>
        <w:gridCol w:w="781"/>
        <w:gridCol w:w="109"/>
        <w:gridCol w:w="109"/>
        <w:gridCol w:w="109"/>
        <w:gridCol w:w="109"/>
        <w:gridCol w:w="553"/>
        <w:gridCol w:w="553"/>
        <w:gridCol w:w="787"/>
      </w:tblGrid>
      <w:tr>
        <w:trPr/>
        <w:tc>
          <w:tcPr>
            <w:tcW w:w="14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r>
      <w:tr>
        <w:trPr/>
        <w:tc>
          <w:tcPr>
            <w:tcW w:w="3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Operating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Operating Revenues</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direct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Commercial</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We offer our commercial clients a comprehensive array of products and services, including risk management and hedging services, execution and clearing of exchange-traded and OTC products, voice brokerage, market intelligence and physical trading, as well as commodity marketing, procurement, logistics and price management services. We believe providing these high-value-added products and services differentiates us from our competitors and maximizes our opportunity to retain our clients.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noted in the beginning of this Segment Information section, the portion of our precious metals activities previously reported in our Self-Directed/Retail segment has been moved into and combined with our precious metals activities within this segment. All segment information has been revised to reflect all precious metals business within this segment retroactive to October 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and select operating data and metrics used by management in evaluating the performance of the Commercial segment, for the periods indicated.</w:t>
      </w:r>
    </w:p>
    <w:tbl>
      <w:tblPr>
        <w:tblW w:w="7327" w:type="dxa"/>
        <w:jc w:val="center"/>
        <w:tblInd w:w="0" w:type="dxa"/>
        <w:tblLayout w:type="fixed"/>
        <w:tblCellMar>
          <w:top w:w="28" w:type="dxa"/>
          <w:left w:w="28" w:type="dxa"/>
          <w:bottom w:w="28" w:type="dxa"/>
          <w:right w:w="28" w:type="dxa"/>
        </w:tblCellMar>
      </w:tblPr>
      <w:tblGrid>
        <w:gridCol w:w="1507"/>
        <w:gridCol w:w="1037"/>
        <w:gridCol w:w="1041"/>
        <w:gridCol w:w="196"/>
        <w:gridCol w:w="781"/>
        <w:gridCol w:w="109"/>
        <w:gridCol w:w="109"/>
        <w:gridCol w:w="109"/>
        <w:gridCol w:w="109"/>
        <w:gridCol w:w="196"/>
        <w:gridCol w:w="781"/>
        <w:gridCol w:w="109"/>
        <w:gridCol w:w="109"/>
        <w:gridCol w:w="109"/>
        <w:gridCol w:w="109"/>
        <w:gridCol w:w="268"/>
        <w:gridCol w:w="268"/>
        <w:gridCol w:w="380"/>
      </w:tblGrid>
      <w:tr>
        <w:trPr/>
        <w:tc>
          <w:tcPr>
            <w:tcW w:w="15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98%</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direct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39%</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bl>
    <w:tbl>
      <w:tblPr>
        <w:tblW w:w="7087" w:type="dxa"/>
        <w:jc w:val="left"/>
        <w:tblInd w:w="0" w:type="dxa"/>
        <w:tblLayout w:type="fixed"/>
        <w:tblCellMar>
          <w:top w:w="28" w:type="dxa"/>
          <w:left w:w="28" w:type="dxa"/>
          <w:bottom w:w="28" w:type="dxa"/>
          <w:right w:w="28" w:type="dxa"/>
        </w:tblCellMar>
      </w:tblPr>
      <w:tblGrid>
        <w:gridCol w:w="1377"/>
        <w:gridCol w:w="1207"/>
        <w:gridCol w:w="1211"/>
        <w:gridCol w:w="196"/>
        <w:gridCol w:w="556"/>
        <w:gridCol w:w="109"/>
        <w:gridCol w:w="109"/>
        <w:gridCol w:w="109"/>
        <w:gridCol w:w="109"/>
        <w:gridCol w:w="196"/>
        <w:gridCol w:w="556"/>
        <w:gridCol w:w="109"/>
        <w:gridCol w:w="109"/>
        <w:gridCol w:w="109"/>
        <w:gridCol w:w="109"/>
        <w:gridCol w:w="268"/>
        <w:gridCol w:w="268"/>
        <w:gridCol w:w="380"/>
      </w:tblGrid>
      <w:tr>
        <w:trPr/>
        <w:tc>
          <w:tcPr>
            <w:tcW w:w="137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Physical contracts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69%</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 fees earned on client balances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7"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Volumes and Other Select Data:</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(contracts, 000’s) </w:t>
            </w:r>
            <w:r>
              <w:rPr>
                <w:rFonts w:ascii="Times New Roman;serif" w:hAnsi="Times New Roman;serif"/>
                <w:b w:val="false"/>
                <w:color w:val="000000"/>
                <w:sz w:val="10"/>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77%</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average rate per contract </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client equity - listed derivatives (millions)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(contracts, 000’s)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OTC derivatives, average rate per contract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acquisition of RJO, effective July 31, 2025, contributed 5.8 million listed derivative contracts and $2.2 billion in average client equity for the three months ended December 31, 2025.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as well as cash and voice brokerage revenues are excluded from the calculation of listed derivatives, average rate per contract.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271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6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December 31, 2025 Compared to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increased $192.6 million, or 82%, to $427.4 million in the three months ended December 31, 2025 compared to $234.8 million in the three months ended December 31, 2024. Net operating revenues increased $124.8 million, or 65%, to $316.3 million in the three months ended December 31, 2025 compared to $191.5 million in the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listed derivatives increased $71.7 million, principally driven by a 77% increase in listed derivative contract volumes and a 21% increase in the average rate per contract. The increase in contract volumes as well as the increase in rate per contract was primarily driven by the acquisition of RJO as well as increased client activity and a widening of spreads in LME base metals markets. The acquired RJO business contributed $55.2 million in operating revenues derived from listed derivatives.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derived from OTC transactions increased $26.5 million, principally resulting from a 17% increase in OTC derivative contract volumes, primarily driven by increased activity in South American and European markets as well as a 48% increase in the average rate per contract, as compared to a period of historically modest spreads in the prior year period.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physical transactions increased $64.1 million, principally driven by a $83.9 million increase in operating revenues in our physical precious metals business, which was partially offset by a $19.8 million decline in our physical agricultural and energy business. The record performance in our precious metals business was primarily driven by an increase in macro volatility, driving a strong increase in client demand, combined with our expansive global footprint allowing us to benefit from regional differences in premiums. Precious metals related operating revenues were unfavorably impacted by $3.0 million unrealized losses on derivative positions related to physical inventories carried at the lower of cost or net realizable value, while the prior year period was favorably impacted by realized gains of $4.7 million on the sale of physical inventories carried at the lower of costs or net realizable value, for which losses on related derivative positions were recognized in prior periods.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Interest and fee income earned on client balances increased $28.0 million, primarily as a result of the acquisition of RJO, which contributed $21.7 million in interest and fee income earned on client balances and helped drive a 133% increase in average client equity. This increase was partially offset by the decline in short-term interest rates.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$16.5 million, principally related to an $11.8 million increase in interest paid to clients, primarily driven by the acquisition of RJO, as well as increase in interest expense in our physical businesses due to heightened client activity.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Variable expenses, excluding interest, expressed as a percentage of operating revenues, were 38% and 31% for the three months ended December 31, 2025 and 2024, respectively. The growth was principally driven by an increase in introducing broker commissions related to the acquisition of the RJO business.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income increased $75.0 million, primarily related to the increase in operating revenues noted above, which were partially offset by a $38.6 million increase in introducing broker commissions and a $12.7 million increase in transaction-based clearing expenses, each of which was principally driven by the acquisition of RJO. In addition, the operating revenue growth was also partially offset by the increase in interest expense noted above, a $37.4 million increase in variable compensation and an $12.4 million increase in non-variable direct expenses, of which $5.4 million was attributable to the RJO business.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we calculated an allocation for overhead costs of $11.6 million for the Commercial segment compared to a $9.7 million allocation in the three months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Institutional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institutional clients with a suite of equity trading services to help them find liquidity with best execution, consistent liquidity across a robust array of fixed income products, competitive and efficient clearing and execution in all major futures and securities exchanges globally as well as prime brokerage in equities and major foreign currency pairs and swap transactions. Additionally, we operate a comprehensive investment banking platform which provides both investment banking services and equity research.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and select operating data and metrics used by management in evaluating the performance of the Institutional segment, for the periods indicated.</w:t>
      </w:r>
    </w:p>
    <w:tbl>
      <w:tblPr>
        <w:tblW w:w="6808" w:type="dxa"/>
        <w:jc w:val="left"/>
        <w:tblInd w:w="0" w:type="dxa"/>
        <w:tblLayout w:type="fixed"/>
        <w:tblCellMar>
          <w:top w:w="28" w:type="dxa"/>
          <w:left w:w="28" w:type="dxa"/>
          <w:bottom w:w="28" w:type="dxa"/>
          <w:right w:w="28" w:type="dxa"/>
        </w:tblCellMar>
      </w:tblPr>
      <w:tblGrid>
        <w:gridCol w:w="1507"/>
        <w:gridCol w:w="1037"/>
        <w:gridCol w:w="1041"/>
        <w:gridCol w:w="198"/>
        <w:gridCol w:w="561"/>
        <w:gridCol w:w="110"/>
        <w:gridCol w:w="110"/>
        <w:gridCol w:w="110"/>
        <w:gridCol w:w="110"/>
        <w:gridCol w:w="198"/>
        <w:gridCol w:w="470"/>
        <w:gridCol w:w="110"/>
        <w:gridCol w:w="110"/>
        <w:gridCol w:w="110"/>
        <w:gridCol w:w="110"/>
        <w:gridCol w:w="268"/>
        <w:gridCol w:w="268"/>
        <w:gridCol w:w="380"/>
      </w:tblGrid>
      <w:tr>
        <w:trPr/>
        <w:tc>
          <w:tcPr>
            <w:tcW w:w="15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135%</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86%</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direct compensation and benefits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124.9 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w:t>
            </w:r>
          </w:p>
        </w:tc>
      </w:tr>
    </w:tbl>
    <w:tbl>
      <w:tblPr>
        <w:tblW w:w="7882" w:type="dxa"/>
        <w:jc w:val="center"/>
        <w:tblInd w:w="0" w:type="dxa"/>
        <w:tblLayout w:type="fixed"/>
        <w:tblCellMar>
          <w:top w:w="28" w:type="dxa"/>
          <w:left w:w="28" w:type="dxa"/>
          <w:bottom w:w="28" w:type="dxa"/>
          <w:right w:w="28" w:type="dxa"/>
        </w:tblCellMar>
      </w:tblPr>
      <w:tblGrid>
        <w:gridCol w:w="1633"/>
        <w:gridCol w:w="1431"/>
        <w:gridCol w:w="1436"/>
        <w:gridCol w:w="196"/>
        <w:gridCol w:w="646"/>
        <w:gridCol w:w="109"/>
        <w:gridCol w:w="109"/>
        <w:gridCol w:w="109"/>
        <w:gridCol w:w="109"/>
        <w:gridCol w:w="196"/>
        <w:gridCol w:w="556"/>
        <w:gridCol w:w="109"/>
        <w:gridCol w:w="109"/>
        <w:gridCol w:w="109"/>
        <w:gridCol w:w="109"/>
        <w:gridCol w:w="268"/>
        <w:gridCol w:w="268"/>
        <w:gridCol w:w="380"/>
      </w:tblGrid>
      <w:tr>
        <w:trPr/>
        <w:tc>
          <w:tcPr>
            <w:tcW w:w="163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 (in millions):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Listed 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173%</w:t>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 fees earned on client balances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94%</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Volumes and Other Select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(contracts, 000’s) </w:t>
            </w:r>
            <w:r>
              <w:rPr>
                <w:rFonts w:ascii="Times New Roman;serif" w:hAnsi="Times New Roman;serif"/>
                <w:b w:val="false"/>
                <w:color w:val="000000"/>
                <w:sz w:val="10"/>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Listed derivatives, average rate per contract </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Average client equity - listed derivatives (millions)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89%</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Securities RPM </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Average money market / FDIC sweep client balances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ADV ( millions)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 contracts RPM</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794"/>
        <w:gridCol w:w="794"/>
        <w:gridCol w:w="794"/>
        <w:gridCol w:w="794"/>
        <w:gridCol w:w="794"/>
        <w:gridCol w:w="794"/>
        <w:gridCol w:w="794"/>
        <w:gridCol w:w="794"/>
        <w:gridCol w:w="794"/>
        <w:gridCol w:w="794"/>
        <w:gridCol w:w="794"/>
        <w:gridCol w:w="11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acquisition of RJO, effective July 31, 2025, contributed 25.1 million listed derivative contracts and $3.6 billion in average client equity for the three months ended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Give-up fee revenues, related to contract execution for clients of other FCMs, are excluded from the calculation of listed derivatives, average RPC.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0"/>
              </w:rPr>
            </w:pPr>
            <w:r>
              <w:rPr>
                <w:rFonts w:ascii="Times New Roman;serif" w:hAnsi="Times New Roman;serif"/>
                <w:b w:val="false"/>
                <w:color w:val="000000"/>
                <w:sz w:val="10"/>
              </w:rPr>
              <w:t>(3)</w:t>
            </w:r>
          </w:p>
        </w:tc>
        <w:tc>
          <w:tcPr>
            <w:tcW w:w="986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associated with our fixed income activities is deducted from operating revenues in the calculation of Securities RPM, while interest income related to securities lending is excluded.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7481" w:type="dxa"/>
            <w:gridSpan w:val="9"/>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December 31, 2025 Compared to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increased $326.4 million, or 60%, to $866.0 million in the three months ended December 31, 2025 compared to $539.6 million in the three months ended December 31, 2024. Net operating revenues increased $150.2 million, or 86%, to $324.2 million in the three months ended December 31, 2025 compared to $174.0 million in the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listed derivatives increased $85.6 million, principally driven by a 57% increase in contract volumes, primarily as a result of the acquisition of RJO, as well as a 47% increase in the average rate per contract. The acquired RJO business contributed $80.5 million in operating revenues derived from listed derivatives.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securities transactions increased $170.9 million, principally driven by a 22% increase in the ADV of securities traded, primarily as a result of increased client activity in both equity and fixed income markets, as well as a 35% increase in securities RPM.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derived from FX contracts declined $2.7 million, principally driven by a 36% decline in the ADV of FX contracts traded, which was partially offset by an 11% increase in the average rate per contract.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Finally, interest and fee income earned on client balances, which is associated with our listed derivative business, as well as our correspondent clearing businesses, increased $38.3 million, principally driven by increases of 89% and 5% in average client equity and average money market / FDIC sweep client balances, respectively, which was partially offset by a decline in short-term interest rates. The acquisition of RJO contributed $3.6 billion in average client equity and $42.0 million in interest and fee income earned on client balances in the three months ended December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Primarily as a result of the increase in Securities ADV, interest expense increased $137.3 million, with interest expense directly associated with serving as an institutional dealer in fixed income securities increasing $130.1 million, to $353.7 million and interest expense directly attributable to securities lending activities increasing $5.9 million to $27.9 million. Additionally, interest paid to clients increased $15.4 million to $42.3 million, as the acquired RJO business added $18.4 million, partially offset by a decrease in our Exchange-Traded Futures &amp; Options business, excluding RJO.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Variable expenses, excluding interest, expressed as a percentage of operating revenues increased to 25% in the three months ended December 31, 2025 compared to 24% in the three months ended December 31, 2024.</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Segment income increased $61.2 million, principally driven by the increase in net operating revenues noted above, which was partially offset by a $36.6 million increase in non-variable direct expenses, with $13.7 million of this increase attributable to the acquisition of RJO. Excluding the acquired RJO business, non-variable direct expenses increased $20.2 million, primarily related to a $4.3 million increase in fixed compensation and benefits, a $1.2 million increase in trading systems and market information, an $8.2 million increase in professional fees and a $1.8 million increase in contingent acquisition revaluation expense. The increase in fixed compensation and benefits, market information, and contingent acquisition revaluation expense was primarily related to the acquisition of The Benchmark Company and Octo Finances, while the increase in professional fees was related to the BTIG matter, which saw arbitration commence during the three months ended December 31, 2025. Segment income in the three months ended December 31, 2024, was favorably impacted by a nonrecurring gain related to proceeds received of $1.3 million resulting from a foreign exchange class action settlement.</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we calculated an allocation for overhead costs of $14.4 million for the Institutional segment compared to a $14.8 million allocation in the three months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Self-Directed/Retail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provide our Self-Directed/Retail clients around the world access to over 18,000 global financial markets, including spot foreign exchange ("forex"), as well as contracts for difference (“CFDs”), which are investment products with returns linked to the performance of underlying assets. In addition, our independent wealth management business offers a comprehensive product suite to retail investors in the U.S.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noted in the beginning of this Segment Information section, the portion of our precious metals activities previously reported in this segment have been moved into and combined with our precious metals activities within our Commercial segment. All segment information has been revised to reflect all precious metals business within the Commercial segment retroactive to October 1, 2024.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and select operating data and metrics used by management in evaluating the performance of the Self-Directed/Retail segment,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1507"/>
        <w:gridCol w:w="1037"/>
        <w:gridCol w:w="1041"/>
        <w:gridCol w:w="209"/>
        <w:gridCol w:w="434"/>
        <w:gridCol w:w="116"/>
        <w:gridCol w:w="116"/>
        <w:gridCol w:w="116"/>
        <w:gridCol w:w="116"/>
        <w:gridCol w:w="209"/>
        <w:gridCol w:w="499"/>
        <w:gridCol w:w="116"/>
        <w:gridCol w:w="116"/>
        <w:gridCol w:w="116"/>
        <w:gridCol w:w="116"/>
        <w:gridCol w:w="268"/>
        <w:gridCol w:w="268"/>
        <w:gridCol w:w="380"/>
      </w:tblGrid>
      <w:tr>
        <w:trPr/>
        <w:tc>
          <w:tcPr>
            <w:tcW w:w="150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7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and account fees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direct compensation and benefits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 net of recoveries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gain</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(67)%</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w:t>
            </w:r>
          </w:p>
        </w:tc>
      </w:tr>
    </w:tbl>
    <w:p>
      <w:pPr>
        <w:pStyle w:val="TextBody"/>
        <w:bidi w:val="0"/>
        <w:spacing w:before="0" w:after="0"/>
        <w:jc w:val="left"/>
        <w:rPr/>
      </w:pPr>
      <w:r>
        <w:rPr/>
      </w:r>
    </w:p>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The tables below reflect a disaggregation of operating revenues and select operating data and metrics used by management in evaluating performance of our Self-Directed/Retail segment for the periods indicated.</w:t>
      </w:r>
    </w:p>
    <w:tbl>
      <w:tblPr>
        <w:tblW w:w="6112" w:type="dxa"/>
        <w:jc w:val="left"/>
        <w:tblInd w:w="0" w:type="dxa"/>
        <w:tblLayout w:type="fixed"/>
        <w:tblCellMar>
          <w:top w:w="28" w:type="dxa"/>
          <w:left w:w="28" w:type="dxa"/>
          <w:bottom w:w="28" w:type="dxa"/>
          <w:right w:w="28" w:type="dxa"/>
        </w:tblCellMar>
      </w:tblPr>
      <w:tblGrid>
        <w:gridCol w:w="1023"/>
        <w:gridCol w:w="897"/>
        <w:gridCol w:w="900"/>
        <w:gridCol w:w="196"/>
        <w:gridCol w:w="556"/>
        <w:gridCol w:w="109"/>
        <w:gridCol w:w="109"/>
        <w:gridCol w:w="109"/>
        <w:gridCol w:w="109"/>
        <w:gridCol w:w="196"/>
        <w:gridCol w:w="556"/>
        <w:gridCol w:w="109"/>
        <w:gridCol w:w="109"/>
        <w:gridCol w:w="109"/>
        <w:gridCol w:w="109"/>
        <w:gridCol w:w="268"/>
        <w:gridCol w:w="268"/>
        <w:gridCol w:w="380"/>
      </w:tblGrid>
      <w:tr>
        <w:trPr/>
        <w:tc>
          <w:tcPr>
            <w:tcW w:w="102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 fees earned on client balances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2"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Volumes and Other Select Data:</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FX/CFD contracts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(41)%</w:t>
            </w:r>
          </w:p>
        </w:tc>
      </w:tr>
    </w:tbl>
    <w:p>
      <w:pPr>
        <w:pStyle w:val="TextBody"/>
        <w:bidi w:val="0"/>
        <w:spacing w:lineRule="auto" w:line="288" w:before="8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December 31, 2025 Compared to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Operating revenues decreased $27.2 million, or 22%, to $94.4 million in the three months ended December 31, 2025 compared to $121.6 million in the three months ended December 31, 2024. Net operating revenues decreased $31.0 million to $61.3 million in the three months ended December 31, 2025 compared to $92.3 million in the three months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derived from FX/CFD contracts decreased $27.2 million, principally due to a 41% decline in FX/CFD contracts RPM as compared to a very strong prior year period. This was partially offset by a 13% increase in FX/CFD contracts ADV.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derived from securities transactions, which are related to our independent wealth management activities, increased $3.2 million, principally due to increased management fees.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and fee income earned on client balances decreased $0.2 million versus the prior year, primarily due to a decline in short-term interest rates.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Variable expenses, excluding interest, expressed as a percentage of operating revenues increased to 38% in the three months ended December 31, 2025 compared to 25% in the three months ended December 31, 2024, primarily as a result of the decline in FX/CFD operating revenues, which have a relatively low component of associated variable expenses.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Non-variable direct expenses declined $1.0 million, with the $5.9 million increase in other expenses, which was principally driven by a $6.2 million proposed settlement of a matter that was outstanding prior to the acquisition of Gain Capital Holdings, Inc. in 2020, being more than offset by declines in other non-variable direct expenses noted above. Segment income decreased $36.7 million, principally due to the decline in net operating revenues noted above. Segment income in the three months ended December 31, 2024 was favorably impacted by a $4.4 million class action settlement received.</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we calculated an allocation for overhead costs of $14.8 million for the Self-Directed/Retail segment compared to a $12.6 million allocation in the three months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Payments</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customized foreign exchange and treasury services to banks and commercial businesses, charities, non-governmental organizations, as well as governmental organizations. We provide transparent pricing and offer payments services in more than 180 countries and 140 currencies, which we believe is more than any other payments solutions provider.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present the financial performance, a disaggregation of operating revenues, and select operating data and metrics used by management in evaluating the performance of the Payments segment for the periods indicated.</w:t>
      </w:r>
    </w:p>
    <w:tbl>
      <w:tblPr>
        <w:tblW w:w="6797" w:type="dxa"/>
        <w:jc w:val="left"/>
        <w:tblInd w:w="0" w:type="dxa"/>
        <w:tblLayout w:type="fixed"/>
        <w:tblCellMar>
          <w:top w:w="28" w:type="dxa"/>
          <w:left w:w="28" w:type="dxa"/>
          <w:bottom w:w="28" w:type="dxa"/>
          <w:right w:w="28" w:type="dxa"/>
        </w:tblCellMar>
      </w:tblPr>
      <w:tblGrid>
        <w:gridCol w:w="1507"/>
        <w:gridCol w:w="1036"/>
        <w:gridCol w:w="1042"/>
        <w:gridCol w:w="205"/>
        <w:gridCol w:w="487"/>
        <w:gridCol w:w="114"/>
        <w:gridCol w:w="114"/>
        <w:gridCol w:w="114"/>
        <w:gridCol w:w="114"/>
        <w:gridCol w:w="205"/>
        <w:gridCol w:w="487"/>
        <w:gridCol w:w="114"/>
        <w:gridCol w:w="114"/>
        <w:gridCol w:w="114"/>
        <w:gridCol w:w="114"/>
        <w:gridCol w:w="268"/>
        <w:gridCol w:w="268"/>
        <w:gridCol w:w="380"/>
      </w:tblGrid>
      <w:tr>
        <w:trPr/>
        <w:tc>
          <w:tcPr>
            <w:tcW w:w="150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physical commodities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gains,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and clearing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Consulting, management, account fees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 of physical commodities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Transaction-based clearing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Introducing broker commissions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operating revenues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contribution</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(26)%</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(43)%</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6"/>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Bad debts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(100)%</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fixed expenses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75%</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fixed compensation and other expenses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(29)%</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Segment income, less allocation of overhead costs</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bl>
    <w:tbl>
      <w:tblPr>
        <w:tblW w:w="5841" w:type="dxa"/>
        <w:jc w:val="left"/>
        <w:tblInd w:w="0" w:type="dxa"/>
        <w:tblLayout w:type="fixed"/>
        <w:tblCellMar>
          <w:top w:w="28" w:type="dxa"/>
          <w:left w:w="28" w:type="dxa"/>
          <w:bottom w:w="28" w:type="dxa"/>
          <w:right w:w="28" w:type="dxa"/>
        </w:tblCellMar>
      </w:tblPr>
      <w:tblGrid>
        <w:gridCol w:w="892"/>
        <w:gridCol w:w="782"/>
        <w:gridCol w:w="785"/>
        <w:gridCol w:w="196"/>
        <w:gridCol w:w="556"/>
        <w:gridCol w:w="109"/>
        <w:gridCol w:w="109"/>
        <w:gridCol w:w="109"/>
        <w:gridCol w:w="109"/>
        <w:gridCol w:w="196"/>
        <w:gridCol w:w="646"/>
        <w:gridCol w:w="109"/>
        <w:gridCol w:w="109"/>
        <w:gridCol w:w="109"/>
        <w:gridCol w:w="109"/>
        <w:gridCol w:w="268"/>
        <w:gridCol w:w="268"/>
        <w:gridCol w:w="380"/>
      </w:tblGrid>
      <w:tr>
        <w:trPr/>
        <w:tc>
          <w:tcPr>
            <w:tcW w:w="8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Revenues (in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1"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Volumes and Other Select Data:</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ADV (millions)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RPM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8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Three Months Ended December 31, 2025 Compared to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revenues decreased $1.1 million, or 2%, to $57.0 million in the three months ended December 31, 2025 compared to $58.1 million in the three months ended December 31, 2024. Net operating revenues decreased $1.4 million, or 3%, to $54.0 million in the three months ended December 31, 2025 compared to $55.4 million in the three months ended December 31, 2024.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decline in operating revenues was principally driven by a 10% decline in RPM, which was partially offset by an 11% increase in the ADV.</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Variable expenses, excluding interest, expressed as a percentage of operating revenues were 20% and 20% for the three months ended December 31, 2025 and 2024, respectively.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Segment income decreased $0.2 million, primarily as a result of the decline in net operating revenues noted, as well as a $0.4 million loss on an equity investment, which is included in the Other loss line above, partially offset by a $1.1 million decline in non-variable direct expenses.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December 31, 2025, we calculated an allocation for overhead costs of $4.0 million for the Payments segment compared to a $5.6 million allocation in the three months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Overhead Costs and Expenses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incur overhead and global operational costs and expenses, including certain shared services such as information technology, accounting and treasury, credit and risk, legal and compliance, human resources, certain global operations and other activities.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our overhead costs and expenses. The information in the table below has been reclassified to reflect certain global operations costs on a gross basis, as well as the amount of shared services reimbursement through charges to business segments, retroactive to October 1, 2024. This reclassification has not resulted in any changes to the total compensation and other expenses amounts previously reported.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for the three months ended December 31, 2025 and 2024, the table provides information regarding the allocation of a portion of these costs to the aforementioned operating segments.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 </w:t>
      </w:r>
    </w:p>
    <w:tbl>
      <w:tblPr>
        <w:tblW w:w="8742" w:type="dxa"/>
        <w:jc w:val="left"/>
        <w:tblInd w:w="0" w:type="dxa"/>
        <w:tblLayout w:type="fixed"/>
        <w:tblCellMar>
          <w:top w:w="28" w:type="dxa"/>
          <w:left w:w="28" w:type="dxa"/>
          <w:bottom w:w="28" w:type="dxa"/>
          <w:right w:w="28" w:type="dxa"/>
        </w:tblCellMar>
      </w:tblPr>
      <w:tblGrid>
        <w:gridCol w:w="1998"/>
        <w:gridCol w:w="1753"/>
        <w:gridCol w:w="1768"/>
        <w:gridCol w:w="198"/>
        <w:gridCol w:w="561"/>
        <w:gridCol w:w="110"/>
        <w:gridCol w:w="110"/>
        <w:gridCol w:w="110"/>
        <w:gridCol w:w="110"/>
        <w:gridCol w:w="198"/>
        <w:gridCol w:w="470"/>
        <w:gridCol w:w="110"/>
        <w:gridCol w:w="110"/>
        <w:gridCol w:w="110"/>
        <w:gridCol w:w="110"/>
        <w:gridCol w:w="268"/>
        <w:gridCol w:w="268"/>
        <w:gridCol w:w="380"/>
      </w:tblGrid>
      <w:tr>
        <w:trPr/>
        <w:tc>
          <w:tcPr>
            <w:tcW w:w="1998"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Variable compensation and benefits</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compensation and benefits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Occupancy and equipment rental</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Non-trading technology and support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Professional fees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45%</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73%</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systems and market information</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Travel and business development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40%</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before shared services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176.4 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19%</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Shared services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w:t>
            </w:r>
          </w:p>
        </w:tc>
        <w:tc>
          <w:tcPr>
            <w:tcW w:w="7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r>
      <w:tr>
        <w:trPr/>
        <w:tc>
          <w:tcPr>
            <w:tcW w:w="5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Allocation of overhead costs</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w:t>
            </w:r>
          </w:p>
        </w:tc>
      </w:tr>
      <w:tr>
        <w:trPr/>
        <w:tc>
          <w:tcPr>
            <w:tcW w:w="5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Overhead costs, net of shared services, net of allocation to operating segments</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109.5 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20"/>
        <w:jc w:val="left"/>
        <w:rPr>
          <w:rFonts w:ascii="Times New Roman;serif" w:hAnsi="Times New Roman;serif"/>
          <w:b w:val="false"/>
          <w:i/>
          <w:color w:val="000000"/>
          <w:sz w:val="20"/>
        </w:rPr>
      </w:pPr>
      <w:r>
        <w:rPr>
          <w:rFonts w:ascii="Times New Roman;serif" w:hAnsi="Times New Roman;serif"/>
          <w:b w:val="false"/>
          <w:i/>
          <w:color w:val="000000"/>
          <w:sz w:val="20"/>
        </w:rPr>
        <w:t>Three Months Ended December 31, 2025 Compared to Three Months Ended December 31, 2024</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Variable compensation and benefits decreased principally due to a recovery of certain benefit liabilities established in the U.K. over the last three fiscal years.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increase in non-variable compensation was partially related to a reorganization of IT and centralized marketing personnel, including the move of certain development and marketing teams out of discrete business lines and into centralized shared services, resulting in increased compensation expense in overhead, and lower compensation expense in the discrete business lines, which were partially offset with non-variable charges to the business lines based on use of IT and marketing resources. Additionally, the increase in non-variable compensation was impacted by an increase in headcount, as well as the impact of annual merit increases. Share-based compensation expense increased principally due to the issuance of additional stock option and restricted stock award grants to certain executive officers during fiscal 2025. Incremental cost from acquisitions completed since December 31, 2024 added $12.6 million of non-variable compensation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Fixed compensation and benefits for the three months ended December 31, 2024 included, in aggregate, $6.6 million related to severance, accelerated long-term incentive and accelerated share-based compensation due to the departure of an executive officer.</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Non-trading technology and support increased $6.9 million, principally due to higher non-trading software maintenance and support costs related to various IT systems technologies, driven by increased headcount. Incremental cost from acquired entities completed since December 31, 2024 added $3.3 million of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Professional fees increased $4.0 million, principally due to an increase in audit, tax, and other legal fees on corporate matters. Incremental cost from acquired entities completed since December 31, 2024 added $1.3 million of expense.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Selling and marketing costs increased $2.7 million, principally related to the reorganization of certain centralized marketing personnel discussed above.</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Travel and business development increased $1.7 million, principally due to higher transportation and lodging costs. This increase is also partially related to the reorganization of certain IT personnel discussed above. Incremental cost from acquired entities completed since December 31, 2024 added $0.8 million of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Financial Condition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Liquidity is our ability to generate sufficient funding to meet all of our cash needs. Liquidity is of critical importance to us and imperative to maintaining our operations on a daily basis. Senior management establishes liquidity and capital policies, which we monitor and review for funding from both internal and external sources. We evaluate how effectively our policies support our business operations, issuing debt and equity securities, and accessing committed credit facilities. Liquidity and capital matters are reported regularly to our Board of Directors.</w:t>
      </w:r>
    </w:p>
    <w:p>
      <w:pPr>
        <w:pStyle w:val="TextBody"/>
        <w:bidi w:val="0"/>
        <w:spacing w:lineRule="auto" w:line="288" w:before="60" w:after="60"/>
        <w:jc w:val="left"/>
        <w:rPr>
          <w:rFonts w:ascii="Times New Roman;serif" w:hAnsi="Times New Roman;serif"/>
          <w:b w:val="false"/>
          <w:i/>
          <w:color w:val="000000"/>
          <w:sz w:val="20"/>
        </w:rPr>
      </w:pPr>
      <w:r>
        <w:rPr>
          <w:rFonts w:ascii="Times New Roman;serif" w:hAnsi="Times New Roman;serif"/>
          <w:b w:val="false"/>
          <w:i/>
          <w:color w:val="000000"/>
          <w:sz w:val="20"/>
        </w:rPr>
        <w:t>Regulatory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StoneX Financial Inc. and R.J. O’Brien and Associates LLC are both registered as futures commission merchants with the CFTC and NFA, and members of various commodities and futures exchanges in the U.S. and abroad. StoneX Financial Inc. and R.J. O’Brien and Associates LLC have responsibilities to meet margin calls at all exchanges on a daily basis, and even on an intra-day basis, if deemed necessary by relevant regulators or exchanges. We require our clients to make margin deposits the next business day, and we require our largest clients to make intra-day margin payments during periods of significant price movement. Margin required to be posted to the exchanges is a function of our clients’ net open positions and required margin per contract. StoneX Financial Inc. and R.J. O’Brien and Associates LLC are subject to minimum capital requirements under Section 4(f)(b) of the Commodity Exchange Act, Part 1.17 of the rules and regulations of the CFTC. In addition, StoneX Financial Inc. is registered as a broker-dealer with the SEC and is a member of both FINRA and Municipal Securities Rulemaking Board (the “MSRB”). StoneX Financial Inc. is also subject to the SEC Uniform Net Capital Rule 15c3-1 under the Securities Exchange Act of 1934, as amended (“the Exchange Act”) and Rule 15c3-3 of the Exchange Act (“Customer Protection Rule”).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Gain Capital Group, LLC is registered as both a futures commission merchant and registered foreign exchange dealer, subject to minimum capital requirements under Section 4(f)(b) of the Commodity Exchange Act, Part 1.17 of the rules and regulations of the CFTC and NFA Financial Requirements, Sections 1 and 11.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StoneX Markets LLC is a CFTC registered swap dealer, whose business is overseen by the NFA. The CFTC imposes rules over net capital requirements, as well as the exchange of initial margin between registered swap dealers and certain counterparties.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These rules specify the minimum amount of capital that must be available to support our clients’ account balances and open trading positions, including the amount of assets that StoneX Financial Inc., R.J. O’Brien and Associates, LLC, Gain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Group, LLC and StoneX Markets LLC must maintain in relatively liquid form. Further, the rules are designed to maintain general financial integrity and liquidity.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Benchmark Company LLC is registered as a broker-dealer with the SEC and is a member of FINRA.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StoneX Financial Ltd is regulated by the FCA, the regulator of investment and payment firms in the U.K. as a MiFID investment firm under U.K. law, and is subject to regulations which impose regulatory capital requirements. In Europe, our regulated subsidiaries are subject to E.U. regulation. Across the U.K. and E.U., the respective transpositions of the Market Abuse Regulation, and the General Data Protection Regulation, also apply. StoneX Financial Ltd is a member of various commodities, futures, and securities exchanges in the U.K. and Europe and has the responsibility to meet margin calls at all exchanges on a daily basis and intra-day basis, as necessary. StoneX Financial Ltd is required to be compliant with the U.K.’s regulation for capital liquidity, and CASS regulation for client money and safeguarding. To comply with these liquidity regulations, we have implemented daily liquidity procedures, conduct periodic reviews of liquidity by stressed scenarios, and are required to maintain enough liquidity for the firm to survive for one year under the appropriate stressed conditions.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R.J. O’Brien Limited is regulated by the FCA. The regulations impose regulatory capital, as well as conduct of business, governance, and other requirements. The conduct of business rules include those that govern the treatment of client money and other assets which, under certain circumstances, for certain classes of client, must be segregated from the firm’s own assets.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R.J. O’Brien (MENA) Capital Limited is registered with the Dubai International Financial Centre (“DIFC”) and regulated by the Dubai Financial Services Authority (“DFSA”). StoneX Financial (DIFC) Limited, f/k/a R.J. O’Brien (MENA) Capital Limited, has been granted a prudential “Category 3A” license by the DFSA, and is engaged in the business of dealing in investments as principal (limited to deals undertaken on a matched principal basis only), dealing in investments as agent, arranging custody, arranging deals in investments and advising on financial products.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StoneX Financial Pte. Ltd. is regulated by the Monetary Authority of Singapore (“MAS”) and operates as an approved holder of a Capital Market Services License and a Payment Services License. StoneX Financial Pte. Ltd. is subject to the requirements of MAS pursuant to the Securities and Futures Act and the Payment Services Act 2019. The regulations include those that govern the treatment of client money and other assets which under certain circumstances must be segregated from the firm’s own assets.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The regulations discussed above limit funds available for dividends to us. As a result, we may be unable to access our operating subsidiaries’ funds when we need them.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our physical commodities trading, commercial hedging OTC, securities and foreign exchange trading activities, we may be required to meet margin calls with our various trading counterparties based upon the underlying open transactions we have in place with those counterparties.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review our overall credit and capital needs to determine whether our capital base, both stockholders’ equity and debt, as well as available credit facilities can appropriately support the anticipated financing needs of our operating subsidiaries.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total equity of $2,522.2 million, outstanding loans under revolving credit facilities and other payables to lenders of $488.8 million, and $1,159.6 million outstanding on our senior secured notes, net of deferred financing costs.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assets are liquid. As of December 31, 2025, approximately 96% of our assets consisted of cash and cash equivalents; securities purchased under agreements to resell; securities borrowed; deposits with and receivables from broker-dealers, clearing organizations and counterparties; receivables from clients; financial instruments owned, at fair value; and physical commodities inventory. All assets that are not client and counterparty deposit financed are financed by our equity capital, bank loans, short-term borrowings from financial instruments sold, not yet purchased and under repurchase agreements, securities loaned and other payables.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Client and Counterparty Credit and Liquidity Risk</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operations expose us to credit risk of default of our clients and counterparties. The risk includes liquidity risk to the extent our clients or counterparties are unable to make timely payment of margin or other credit support. We are indirectly exposed to the financing and liquidity risks of our clients and counterparties, including the risks that our clients and counterparties may not be able to finance their operations.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 clearing broker, we act on behalf of our clients for all trades consummated on exchanges. We must pay initial and variation margin to the exchanges, on a net basis, before we receive the required payments from our clients. Accordingly, we are responsible for our clients’ obligations with respect to these transactions, which exposes us to significant credit risk. Our clients are required to make any margin deposits the next business day, and we require our largest clients to make intra-day margin payments during periods of significant price movement. Our clients are obligated to maintain initial margin requirements at the level set by the respective exchanges, but we have the ability to increase margin requirements for clients based on their open positions, trading activity, or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it relates to OTC derivative transactions, we act as a principal, which exposes us to the credit risk of both our clients and the counterparties with which we offset our client positions. As with exchange-traded transactions, our OTC transactions require that we meet initial and variation margin payments on behalf of our clients before we receive related required payments from our clients. OTC clients are required to post sufficient collateral to meet margin requirements based on value-at-risk models, as well as variation margin requirements based on the price movement of the commodity or security in which they transact. Our clients are required to make any margin deposits the next business day, and we may require our largest clients to make intra-day margin payments during periods of significant price movement. In this business as well, we have the ability to increase the margin requirements for clients based on their open positions, trading activity, or market conditions. On a limited basis, we provide credit thresholds to certain clients, based on internal evaluations and monitoring of client creditworthiness.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addition, with OTC transactions, we are at risk that a counterparty will fail to meet its obligations to us when due. We would then be exposed to the risk that the settlement of a transaction which is due from a client will not be collected from the respective counterparty with which the transaction was offset. We monitor the credit quality of our respective counterparties and mark our positions held with each counterparty to market on a daily basis.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enter into securities purchased under agreements to resell, securities sold under agreements to repurchase, securities borrowed and securities loaned transactions to, among other things, finance financial instruments, acquire securities to cover short positions, acquire securities for settlement, and to accommodate counterparties’ needs. In connection with these agreements and transactions, it is our policy to receive or pledge cash or securities to adequately collateralize such agreements and transactions in accordance with general industry guidelines and practices. The collateral is valued daily and we may require counterparties to deposit additional collateral or return collateral pledged, when appropriate.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StoneX Financial Inc., R.J. O’Brien and Associates LLC, and StoneX Financial Ltd occasionally utilize their margin line credit facilities, on a short-term basis, to meet intraday settlements with the commodity exchanges prior to collecting margin funds from their clients.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Primary Sources and Uses of Cash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cash and cash equivalents and client cash and securities held for clients are held at banks, deposits at liquidity providers, investments in money market funds that invest in highly liquid investment grade securities including U.S. Treasury bills, as well as investments in U.S. Treasury bills. In general, we believe all of our investments and deposits are of high credit quality and we have more than adequate liquidity to conduct our businesses.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assets and liabilities may vary significantly from period to period due to changing client requirements, economic and market conditions, and our growth. Our total assets as of December 31, 2025 and September 30, 2025, were $47.8 billion and $45.3 billion, respectively. Our operating activities generate or utilize cash as a result of net income or loss earned or incurred during each period and fluctuations in our assets and liabilities. The most significant fluctuations arise from changes in the level of client activity, commodities prices, and changes in the balances of financial instruments and commodities inventory. StoneX Financial Inc. and StoneX Financial Ltd occasionally utilize their margin line credit facilities, on a short-term basis, to meet intraday settlements with the commodity exchanges prior to collecting margin funds from their clients.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majority of the assets of StoneX Financial Inc., StoneX Financial Ltd, StoneX Financial Pte. Ltd., StoneX Markets LLC, Gain Capital Group, LLC, R.J. O’Brien &amp; Associates, LLC, and R.J. O’Brien Limited are restricted from being transferred to us or other affiliates due to specific regulatory requirements. This restriction has no current impact on our ability to meet our cash obligations, and no such impact is expected in the future.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have liquidity and funding policies and processes in place that are intended to maintain sufficient flexibility to address both company-specific and industry liquidity needs. The majority of our excess funds is held with high-quality institutions, under highly-liquid reverse repurchase agreements, U.S. government obligations, interest earning cash deposits and AA-rated money market investments.</w:t>
      </w:r>
    </w:p>
    <w:p>
      <w:pPr>
        <w:pStyle w:val="TextBody"/>
        <w:bidi w:val="0"/>
        <w:spacing w:lineRule="auto" w:line="288" w:before="0" w:after="0"/>
        <w:jc w:val="left"/>
        <w:rPr/>
      </w:pPr>
      <w:r>
        <w:rPr>
          <w:rFonts w:ascii="Times New Roman;serif" w:hAnsi="Times New Roman;serif"/>
          <w:b w:val="false"/>
          <w:color w:val="000000"/>
          <w:sz w:val="20"/>
        </w:rPr>
        <w:t>We do not intend to distribute earnings of our foreign subsidiaries in a taxable manner, and therefore intend to limit distributions to earnings previously taxed in the U.S., or earnings that would qualify for the 100 percent dividends received deduction, and earnings that would not result in any significant foreign taxes. We repatriat</w:t>
      </w:r>
      <w:r>
        <w:rPr>
          <w:rFonts w:ascii="Times New Roman;serif" w:hAnsi="Times New Roman;serif"/>
          <w:b w:val="false"/>
          <w:color w:val="000000"/>
          <w:sz w:val="20"/>
          <w:shd w:fill="FFFFFF" w:val="clear"/>
        </w:rPr>
        <w:t>ed $27.0 million</w:t>
      </w:r>
      <w:r>
        <w:rPr>
          <w:color w:val="000000"/>
        </w:rPr>
        <w:t xml:space="preserve"> </w:t>
      </w:r>
      <w:r>
        <w:rPr>
          <w:rFonts w:ascii="Times New Roman;serif" w:hAnsi="Times New Roman;serif"/>
          <w:b w:val="false"/>
          <w:color w:val="000000"/>
          <w:sz w:val="20"/>
        </w:rPr>
        <w:t>and $16.0 million for the three months ended December 31, 2025 and 2024, respectively, of earnings previously taxed in the U.S., resulting in no significant incremental taxes. Therefore, the Company has not recognized a deferred tax liability on its investment in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Senior Secured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 2024, we issued $550.0 million in aggregate principal amount of the Notes due 2031, which are fully and unconditionally guaranteed, jointly and severally, on a senior secured second lien basis, by certain subsidiaries of the Company that guarantee the Company’s senior committed credit facility and certain of its domestic subsidiaries.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Notes due 2031 will mature on March 1, 2031. Interest on the Notes due 2031 accrues at a rate of 7.875% per annum and is payable semiannually in arrears on September 1 and March 1 of each year. We incurred debt issuance costs of $7.6 million in connection with the issuance of the Notes due 2031, which are being amortized over the term of the notes.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2025, we issued $625.0 million in aggregate principal amount of the Notes due 2032, which are fully and unconditionally guaranteed, jointly and severally, on a senior secured second lien basis, by certain subsidiaries of the Company that guarantee the Company’s senior committed credit facility and certain of its domestic subsidiaries. The Notes due 2032 will mature on July 15, 2032. Interest on the Notes due 2032 accrues at a rate of 6.875% per annum and is payable semiannually in arrears on January 15 and July 15 of each year, commencing on January 15, 2026. On July 31, 2025, the net proceeds from the issuance of the Notes due 2032 were used to fund the cash portion of the purchase price of the RJO acquisition and to pay related fees and expenses.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Indentures governing our senior secured notes contain covenants that limit, among other things, our ability to (1) transfer and sell assets; (2) pay dividends or distributions on our capital stock, repurchase our capital stock, make payments on subordinated indebtedness and make certain investments; (3) incur additional debt; (4) create or incur liens on our assets; (5) create any restriction on the ability of any of our restricted subsidiaries to pay dividends, make loans to us or any of our restricted subsidiaries or sell assets to us or any of our restricted subsidiaries; (6) merge, amalgamate or consolidate with another company; and (7) enter into transactions with affiliates. These covenants are subject to a number of important limitations, qualifications and exceptions. In addition, the Indentures provide for customary events of default (subject in certain cases to customary grace and cure periods), which include nonpayment; failure to comply with redemption and repurchase provisions; failure to comply with the agreements in any of the indentures, notes and related guarantees and security agreements; payment defaults or acceleration of other material indebtedness; failure to pay certain judgments; unenforceability, repudiation, denial or disaffirmation of obligations of certain subsidiaries; and certain events of bankruptcy and insolvency. In addition, upon the occurrence of a Change of Control (as defined in the indentures), each holder of the notes will have the right to require us to make an offer to repurchase all or a portion of the notes in cash at a price equal to 101% of the aggregate principal amount of the Notes to be repurchased, plus accrued and unpaid interest, if any, thereon to the date of repurchase.</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Committed Credit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seven committed bank credit facilities, totaling $1,685.0 million, of which $318.3 million was outstanding. Additional information regarding the committed bank credit facilities can be found in Note 9 of the Condensed Consolidated Financial Statements. The credit facilities include:</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A first-lien senior secured syndicated loan facility committed until June 3, 2028, under which </w:t>
      </w:r>
      <w:r>
        <w:rPr>
          <w:rFonts w:ascii="Times New Roman;serif" w:hAnsi="Times New Roman;serif"/>
          <w:b w:val="false"/>
          <w:color w:val="000000"/>
          <w:sz w:val="20"/>
        </w:rPr>
        <w:t>$650.0 million</w:t>
      </w:r>
      <w:r>
        <w:rPr>
          <w:color w:val="000000"/>
          <w:shd w:fill="FFFFFF" w:val="clear"/>
        </w:rPr>
        <w:t xml:space="preserve"> </w:t>
      </w:r>
      <w:r>
        <w:rPr>
          <w:rFonts w:ascii="Times New Roman;serif" w:hAnsi="Times New Roman;serif"/>
          <w:b w:val="false"/>
          <w:color w:val="000000"/>
          <w:sz w:val="20"/>
          <w:shd w:fill="FFFFFF" w:val="clear"/>
        </w:rPr>
        <w:t>is available to us for general working capital requirements and capital expenditures.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An unsecured line of credit committed until October 27, 2026, under which $325.0 million is available to our wholly owned subsidiary, StoneX Financial Inc. to provide short-term funding. R.J. O’Brien &amp; Associates, LLC has the ability to borrow up to $50.0 million as part of the total commitment.</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A secured syndicated borrowing facility committed until July 29, 2026, under which $325.0 million is available to our wholly owned subsidiary, StoneX Commodity Solutions LLC (“StoneX Commodity Solutions”) to facilitate physical commodity trade and provide marketing, procurement, logistics and price management services to clients across the commodity complex. </w:t>
      </w:r>
    </w:p>
    <w:p>
      <w:pPr>
        <w:pStyle w:val="TextBody"/>
        <w:bidi w:val="0"/>
        <w:spacing w:lineRule="auto" w:line="288" w:before="120" w:after="120"/>
        <w:ind w:left="0" w:right="0" w:hanging="360"/>
        <w:jc w:val="left"/>
        <w:rPr/>
      </w:pPr>
      <w:r>
        <w:rPr>
          <w:color w:val="000000"/>
          <w:u w:val="single"/>
        </w:rPr>
        <w:t>•</w:t>
      </w:r>
      <w:r>
        <w:rPr>
          <w:rFonts w:ascii="Times New Roman;serif" w:hAnsi="Times New Roman;serif"/>
          <w:b w:val="false"/>
          <w:color w:val="000000"/>
          <w:sz w:val="20"/>
        </w:rPr>
        <w:t xml:space="preserve">A subordinated credit facility which allows our subsidiary, R.J. O’Brien &amp; Associates, LLC, to borrow up to $180.0 million. As of December 31, 2025, the outstanding tranches of borrowings mature at various dates through July 14, 2026. The facility matures in April 2027, at which point no further draws can be made. The subordinated credit facility complies with the applicable regulatory requirements, and the borrowings are available for computing net capital under the CFTC’s net capital rule for R.J. O’Brien &amp; Associates, LLC. </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An unsecured syndicated loan facility committed until October 6, 2026, under which our subsidiary, StoneX Financial Ltd is entitled to borrow up to $175.0 million, subject to certain terms and conditions of the credit agreement. This facility is intended to provide short-term funding. </w:t>
      </w:r>
    </w:p>
    <w:p>
      <w:pPr>
        <w:pStyle w:val="TextBody"/>
        <w:bidi w:val="0"/>
        <w:spacing w:lineRule="auto" w:line="288" w:before="120" w:after="120"/>
        <w:ind w:left="0" w:right="0" w:hanging="360"/>
        <w:jc w:val="left"/>
        <w:rPr/>
      </w:pPr>
      <w:r>
        <w:rPr>
          <w:color w:val="000000"/>
          <w:shd w:fill="FFFFFF" w:val="clear"/>
        </w:rPr>
        <w:t>•</w:t>
      </w:r>
      <w:r>
        <w:rPr>
          <w:rFonts w:ascii="Times New Roman;serif" w:hAnsi="Times New Roman;serif"/>
          <w:b w:val="false"/>
          <w:color w:val="000000"/>
          <w:sz w:val="20"/>
        </w:rPr>
        <w:t xml:space="preserve">An unsecured revolving credit facility committed until September 4, 2026, under which $15.0 million is available to our wholly owned subsidiary, StoneX Financial Pte. Ltd. </w:t>
      </w:r>
      <w:r>
        <w:rPr>
          <w:rFonts w:ascii="Times New Roman;serif" w:hAnsi="Times New Roman;serif"/>
          <w:b w:val="false"/>
          <w:color w:val="000000"/>
          <w:sz w:val="20"/>
          <w:shd w:fill="FFFFFF" w:val="clear"/>
        </w:rPr>
        <w:t>for general working capital requirements</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 October 2025, we added a secured loan facility committed until October 1, 2026, under which our subsidiary, Right Company LLC is entitled to borrow up to $15.0 million, subject to certain terms and conditions of the credit agreement to facilitate physical commodity trade.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facility agreements contain certain financial covenants relating to financial measures on a consolidated basis, as well as on a stand-alone basis for certain subsidiaries, including minimum tangible net worth, minimum regulatory capital, minimum net unencumbered liquid assets, maximum net loss, minimum fixed charge coverage ratio and maximum funded debt to net worth ratio. Failure to comply with any such covenants could result in the debt becoming payable on demand. As of December 31, 2025, we and our subsidiaries were in compliance with all of our financial covenants under the outstanding facilities. </w:t>
      </w:r>
    </w:p>
    <w:p>
      <w:pPr>
        <w:pStyle w:val="TextBody"/>
        <w:bidi w:val="0"/>
        <w:spacing w:lineRule="auto" w:line="288" w:before="120" w:after="180"/>
        <w:jc w:val="left"/>
        <w:rPr/>
      </w:pPr>
      <w:r>
        <w:rPr>
          <w:rFonts w:ascii="Times New Roman;serif" w:hAnsi="Times New Roman;serif"/>
          <w:b w:val="false"/>
          <w:color w:val="000000"/>
          <w:sz w:val="20"/>
        </w:rPr>
        <w:t xml:space="preserve">In accordance with required disclosure as part of our </w:t>
      </w:r>
      <w:r>
        <w:rPr>
          <w:rFonts w:ascii="Times New Roman;serif" w:hAnsi="Times New Roman;serif"/>
          <w:b w:val="false"/>
          <w:color w:val="000000"/>
          <w:sz w:val="20"/>
          <w:shd w:fill="FFFFFF" w:val="clear"/>
        </w:rPr>
        <w:t>first-lien senior secured syndicated loan facility</w:t>
      </w:r>
      <w:r>
        <w:rPr>
          <w:rFonts w:ascii="Times New Roman;serif" w:hAnsi="Times New Roman;serif"/>
          <w:b w:val="false"/>
          <w:color w:val="000000"/>
          <w:sz w:val="20"/>
        </w:rPr>
        <w:t xml:space="preserve">, during the trailing twelve months ended December 31, 2025, interest expense directly attributable to trading activities includes $1,193.7 million in connection with trading activities conducted as an institutional dealer in fixed income securities, and $105.2 million in connection with securities lending activities. </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As reflected above, certain of our committed </w:t>
      </w:r>
      <w:r>
        <w:rPr>
          <w:rFonts w:ascii="Times New Roman;serif" w:hAnsi="Times New Roman;serif"/>
          <w:b w:val="false"/>
          <w:color w:val="000000"/>
          <w:sz w:val="20"/>
        </w:rPr>
        <w:t>credit facilities are scheduled to expire during the next twelve months following the quarterly period ended December 31, 2025. We intend to renew or replace these facilities as they expire, and based on our liquidity position and capital str</w:t>
      </w:r>
      <w:r>
        <w:rPr>
          <w:rFonts w:ascii="Times New Roman;serif" w:hAnsi="Times New Roman;serif"/>
          <w:b w:val="false"/>
          <w:color w:val="000000"/>
          <w:sz w:val="20"/>
          <w:shd w:fill="FFFFFF" w:val="clear"/>
        </w:rPr>
        <w:t>ucture, we believe we will be able to do so.</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Uncommitted Credit Facilities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have access to certain uncommitted financing agreements that support our ordinary course securities and commodities inventories. The agreements are subject to certain borrowing terms and conditions. As of December 31, 2025 and September 30, 2025, the Company had $170.5 million and $153.9 million total borrowings outstanding under these uncommitted credit facilities,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Other Capital Considerations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activities are subject to various significant governmental regulations and capital adequacy requirements, both in the U.S. and in the international jurisdictions in which we operate. Our subsidiaries are in compliance with all of their capital regulatory requirements as of December 31, 2025. Additional information on our subsidiaries subject to significant net capital and minimum net capital requirements can be found in Note 16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Flows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include client cash and securities that meet the short-term requirement for cash classification to be segregated for regulatory purposes in our Condensed Consolidated Statements of Cash Flows. We hold a significant amount of U.S. Treasury obligations, which represent investments of client funds or client-owned investments pledged in lieu of cash margin. U.S. Treasury securities held with third-party banks or pledged with exchange-clearing organizations representing investments of client funds or which are held for particular clients in lieu of cash margin are included in the beginning and ending cash balances reconciled on our Condensed Consolidated Statements of Cash Flows to the extent that they have an original or acquired maturity of 90 days or less and, therefore, meet the definition of a segregated cash equivalent. Purchases and sales of U.S. Treasury securities representing investment of clients’ funds and U.S. Treasury securities pledged or redeemed by particular clients in lieu of cash margin are presented as operating uses and sources of cash, respectively, within the operating section of the Consolidated Statements of Cash Flows if they have an original or acquired maturity of greater than 90 days. Typically, there is an offsetting use or source of cash related to the change in the payables to clients. However, we will report a use of cash in periods where segregated U.S. Treasury securities that meet the aforementioned definition of a segregated cash equivalent mature and are replaced with U.S. Treasury securities that have original or acquired maturities that are greater than 90 days.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Our cash, segregated cash, cash equivalents, and segregated cash equivalents decreased by $1,590.5 million from $11,520.2 million as of September 30, 2025 to $9,929.7 million as of December 31, 2025. During the three months ended December 31, 2025, net cash of $1,261.7 million was used in operating activities, $28.1 million was used in investing activities and net cash of $299.8 million was used in financing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three months ended December 31, 2025 included significant outflows from payables to lenders under 90 days of $286.9 million, deferred acquisition payments of $1.3 million, repayment of notes payable of $6.3 million and outflows for tax related withholdings for equity awards of $6.2 million.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broker-dealer and related trading industries, companies report trading activities in the operating section of the statement of cash flows. Due to the daily price volatility in the commodities market, as well as changes in margin requirements, fluctuations in the balances of deposits held at various exchanges, marketable securities and client commodity accounts may occur from day-to-day. A use of cash, as calculated on the consolidated statement of cash flows, includes unrestricted cash transferred and pledged to the exchanges or guaranty funds. These funds are held in interest-bearing deposit accounts at the exchanges, and based on daily exchange requirements, may be withdrawn and returned to unrestricted cash. Additionally, within our unregulated OTC and foreign exchange operations, cash deposits received from clients are reflected as cash provided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from operations. Subsequent transfer of these cash deposits to counterparties or exchanges to margin their open positions will be reflected as an operating use of cash to the extent the transfer occurs in a different period than the cash deposit was received.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Unrealized gains and losses on open positions revalued at prevailing foreign currency exchange rates are included in trading revenue but have no direct impact on cash flow from operations. Similarly, gains and losses become realized when client transactions are liquidated, though they do not affect cash flow. To some extent, the amount of net deposits made by our clients in any given period is influenced by the impact of gains and losses on our client balances, such that clients may be required to post additional funds to maintain open positions or may choose to withdraw excess funds on open positions.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invest in our offerings and opportunistically expand our business. Investing activities included $15.2 million in capital expenditures for property and equipment during the three months ended December 31, 2025 compared to $13.6 million during the prior year. Additionally, we paid net cash of $7.9 million for acquisitions of assets and businesses in the current year and $5.0 million for a cost method investment.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Fluctuations in exchange rates decreased our cash, segregated cash, cash equivalents and segregated cash equivalents by $0.9 million.</w:t>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Based upon our current operations, we believe that cash flows from operations, available cash and available borrowings under our credit facilities will be adequate to meet our future liquidity needs for the following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Commitments and Contingencies</w:t>
      </w:r>
    </w:p>
    <w:p>
      <w:pPr>
        <w:pStyle w:val="TextBody"/>
        <w:bidi w:val="0"/>
        <w:spacing w:lineRule="auto" w:line="288" w:before="100" w:after="180"/>
        <w:jc w:val="left"/>
        <w:rPr>
          <w:rFonts w:ascii="Times New Roman;serif" w:hAnsi="Times New Roman;serif"/>
          <w:b w:val="false"/>
          <w:color w:val="000000"/>
          <w:sz w:val="20"/>
        </w:rPr>
      </w:pPr>
      <w:r>
        <w:rPr>
          <w:rFonts w:ascii="Times New Roman;serif" w:hAnsi="Times New Roman;serif"/>
          <w:b w:val="false"/>
          <w:color w:val="000000"/>
          <w:sz w:val="20"/>
        </w:rPr>
        <w:t>Information about our commitments and contingent liabilities is contained in Note 11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Off Balance Sheet Arrangements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are party to certain financial instruments with off-balance sheet risk in the normal course of business as a registered securities broker-dealer, futures commission merchant, U.K. based investment firm, provisionally registered swap dealer and from our market-making and proprietary trading in the foreign exchange and commodities and debt securities markets. These financial instruments include futures, forward and foreign exchange contracts, exchange-traded and OTC options, To Be Announced (“TBA”) securities and interest rate swaps. Derivative financial instruments involve varying degrees of off-balance sheet market risk whereby changes in the fair values of underlying financial instruments may result in changes in the fair value of the financial instruments in excess of the amounts reflected in the Condensed Consolidated Balance Sheets. Exposure to market risk is influenced by a number of factors, including the relationships between the financial instruments and our positions, as well as the volatility and liquidity in the markets in which the financial instruments are traded. The principal risk components of financial instruments include, among other things, interest rate volatility, the duration of the underlying instruments and changes in commodity pricing and foreign exchange rates. We attempt to manage our exposure to market risk through various techniques. Aggregate market limits have been established and market risk measures are routinely monitored against these limits. Derivative contracts are traded along with cash transactions because of the integrated nature of the markets for such products. We manage the risks associated with derivatives on an aggregate basis along with the risks associated with our proprietary trading and market-making activities in cash instruments as part of our firm-wide risk management policies.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 significant portion of these instruments are primarily the execution of orders for commodity futures and options on futures contracts on behalf of our clients, substantially all of which are transacted on a margin basis. Such transactions may expose us to significant credit risk in the event margin requirements are not sufficient to fully cover losses which clients may incur. We control the risks associated with these transactions by requiring clients to maintain margin deposits in compliance with both clearing organization requirements and internal guidelines. We monitor required margin levels daily and, therefore, may require clients to deposit additional collateral or reduce positions when necessary. We also establish contract limits for clients, which are monitored daily. We evaluate each client’s creditworthiness on a case-by-case basis. Clearing, financing, and settlement activities may require us to maintain funds with or pledge securities as collateral with other financial institutions. Generally, these exposures to exchanges are subject to netting of open positions and collateral, while exposures to clients are subject to netting, per the terms of the client agreements, which reduce the exposure to us by permitting receivables and payables with such clients to be offset in the event of a client default. Management believes that the margin deposits held as of December 31, 2025 are adequate to minimize the risk of material loss that could be created by positions held at that time. Additionally, we monitor collateral fair value on a daily basis and adjust collateral levels in the event of excess market exposure. Generally, these exposures to both counterparties and clients are subject to master netting agreements and the terms of the client agreements, which reduce our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 broker-dealer in U.S. Treasury obligations, U.S. government agency obligations, agency mortgage-backed obligations, and asset-backed obligations, we are engaged in various securities trading, borrowing and lending activities serving solely institutional counterparties. Our exposure to credit risk associated with the nonperformance of counterparties in fulfilling their contractual obligations pursuant to these securities transactions and market risk associated with the sale of securities not yet purchased can be directly impacted by volatile trading markets which may impair their ability to satisfy outstanding obligations to us. In the event of non-performance and unfavorable market price movements, we may be required to purchase or sell financial instruments, which may result in a loss to us.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transact OTC and foreign exchange contracts with our clients, and our OTC and foreign exchange trade desks will generally offset the client’s transaction simultaneously with one of our trading counterparties or will offset that transaction with a similar, but not identical, position on the exchange. These unmatched transactions are intended to be short-term in nature and are conducted to facilitate the most effective transaction for our client.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we hold options and futures on options contracts resulting from market-making and proprietary trading activities in these product lines. We assist clients in our commodities trading business to protect the value of their future production (precious or base metals) by selling them put options on an OTC basis. We also provide our physical commodities trading business clients with sophisticated option products, including combinations of buying and selling puts and calls. We mitigate our risk by effecting offsetting options with market counterparties or through the purchase or sale of exchange-traded commodities futures. The risk mitigation of offsetting options is not within the documented hedging designation requirements of the Derivatives and Hedging Topic of the ASC.</w:t>
      </w:r>
    </w:p>
    <w:p>
      <w:pPr>
        <w:pStyle w:val="TextBody"/>
        <w:bidi w:val="0"/>
        <w:spacing w:lineRule="auto" w:line="288" w:before="120" w:after="120"/>
        <w:jc w:val="left"/>
        <w:rPr/>
      </w:pPr>
      <w:r>
        <w:rPr>
          <w:rFonts w:ascii="Times New Roman;serif" w:hAnsi="Times New Roman;serif"/>
          <w:b w:val="false"/>
          <w:color w:val="000000"/>
          <w:sz w:val="20"/>
        </w:rPr>
        <w:t xml:space="preserve">As part of the activities discussed above, we carry short positions. We sell financial instruments that we do not own, borrow the financial instruments to make good delivery, and therefore are obliged to purchase such financial instruments at a future date in order to return the borrowed financial instruments. We record these obligations in the condensed consolidated financial statements as of December 31, 2025 and September 30, 2025, at fair value of the related financial instruments, totaling $4,164.8 million and $2,919.8 million, respectively. These positions are held to offset the risks related to financial assets owned, and reported in our Condensed Consolidated Balance Sheets in </w:t>
      </w:r>
      <w:r>
        <w:rPr>
          <w:rFonts w:ascii="Times New Roman;serif" w:hAnsi="Times New Roman;serif"/>
          <w:b w:val="false"/>
          <w:i/>
          <w:color w:val="000000"/>
          <w:sz w:val="20"/>
        </w:rPr>
        <w:t>Financial instruments owned, at fair value</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Physical commodities inventory, net</w:t>
      </w:r>
      <w:r>
        <w:rPr>
          <w:rFonts w:ascii="Times New Roman;serif" w:hAnsi="Times New Roman;serif"/>
          <w:b w:val="false"/>
          <w:color w:val="000000"/>
          <w:sz w:val="20"/>
        </w:rPr>
        <w:t>. We will incur losses if the fair value of the financial instruments sold, not yet purchased, increases subsequent to December 31, 2025, which might be partially or wholly offset by gains in the value of assets held as of December 31, 2025. The totals of $4,164.8 million and $2,919.8 million include a net liability of $266.1 million and $298.3 million for derivative contracts, including those designated as hedges, based on their fair value as of December 31, 2025 and September 30, 2025, respectively.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We do not anticipate non-performance by counterparties in the above situations. We have a policy of reviewing the credit standing of each counterparty with which we conduct business. We have credit guidelines that limit our current and potential credit exposure to any one counterparty. We administer limits, monitor credit exposure, and periodically review the financial soundness of counterparties. We manage the credit exposure relating to our trading activities in various ways, including entering into collateral arrangements and limiting the duration of exposure. Risk is mitigated in certain cases by closing out transactions and entering into risk reducing transactions.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We are a member of various exchanges that trade and clear futures and option contracts. We are also a member of and provide guaranties to securities clearinghouses and exchanges in connection with client trading activities. Associated with our memberships, we may be required to pay a proportionate share of the financial obligations of another member who may default on its obligations to the exchanges. While the rules governing different exchange memberships vary, in general our guaranty obligations would arise only if the exchange had previously exhausted its resources. In addition, any such guaranty obligation would be apportioned among the other non-defaulting members of the exchange. Our liability under these arrangements is not quantifiable and could exceed the cash and securities we have posted as collateral at the exchanges. However, management believes that the potential for us to be required to make payments under these arrangements is remote. Accordingly, no contingent liability for these arrangements has been recorded in the Condensed Consolidated Balance Sheets as of December 31, 2025 and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Effects of Inflation</w:t>
      </w:r>
    </w:p>
    <w:p>
      <w:pPr>
        <w:pStyle w:val="TextBody"/>
        <w:bidi w:val="0"/>
        <w:spacing w:lineRule="auto" w:line="288" w:before="120" w:after="100"/>
        <w:jc w:val="left"/>
        <w:rPr>
          <w:rFonts w:ascii="Times New Roman;serif" w:hAnsi="Times New Roman;serif"/>
          <w:b w:val="false"/>
          <w:color w:val="000000"/>
          <w:sz w:val="20"/>
        </w:rPr>
      </w:pPr>
      <w:r>
        <w:rPr>
          <w:rFonts w:ascii="Times New Roman;serif" w:hAnsi="Times New Roman;serif"/>
          <w:b w:val="false"/>
          <w:color w:val="000000"/>
          <w:sz w:val="20"/>
        </w:rPr>
        <w:t>Increases in our expenses, such as compensation and benefits, transaction-based clearing expenses, as well as occupancy and equipment rental, may result from inflation, and may not be readily recoverable from increasing the prices of our services. While heightened interest rates are generally favorable for us, to the extent that changes in interest rates arise from inflationary pressures, and such inflationary pressures have other adverse effects on the financial markets and on the value of the financial instruments held in inventory, it may adversely affect our financial position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See our critical accounting policies discussed in the Management’s Discussion and Analysis of the most recent Annual Report filed on Form 10-K. There have been no material changes to these policies.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Other Accounting Policies</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Note 1 to the Consolidated Financial Statements included within the most recent Annual Report filed on Form 10-K includes our significant accounting policies. There have been no material changes to these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Accounting Development Updates</w:t>
      </w:r>
    </w:p>
    <w:p>
      <w:pPr>
        <w:pStyle w:val="TextBody"/>
        <w:bidi w:val="0"/>
        <w:spacing w:lineRule="auto" w:line="288" w:before="0" w:after="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Recently Issued Accounting Pronouncements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No. 2023-09, Income Taxes (Topic 740): Improvements to Income Tax Disclosures (“ASU 2023-09”), which will require the Company to disclose specified additional information in its income tax rate reconciliation and provide additional information for reconciling items that meet a quantitative threshold. ASU 2023-09 will also require the Company to disaggregate its income taxes paid disclosure by federal, state and foreign taxes, with further disaggregation required for significant individual jurisdictions. ASU 2023-09 is effective for the Company’s annual reporting in the fiscal year ending September 30, 2026. Early adoption is permitted. The guidance allows for adoption using either a prospective or retrospective transition method. We are currently evaluating the impact that adopting this guidance will have on our disclosures.</w:t>
      </w:r>
    </w:p>
    <w:p>
      <w:pPr>
        <w:pStyle w:val="TextBody"/>
        <w:bidi w:val="0"/>
        <w:spacing w:lineRule="auto" w:line="288" w:before="0" w:after="180"/>
        <w:jc w:val="left"/>
        <w:rPr/>
      </w:pPr>
      <w:r>
        <w:rPr>
          <w:rFonts w:ascii="Times New Roman;serif" w:hAnsi="Times New Roman;serif"/>
          <w:b w:val="false"/>
          <w:color w:val="000000"/>
          <w:sz w:val="20"/>
          <w:shd w:fill="FFFFFF" w:val="clear"/>
        </w:rPr>
        <w:t xml:space="preserve">In November 2024, the FASB issued ASU No. 2024-03, Disaggregation of Income Statement Expenses (“ASU 2024-03”). The guidance primarily will require enhanced disclosures about certain types of expenses. </w:t>
      </w:r>
      <w:r>
        <w:rPr>
          <w:rFonts w:ascii="Times New Roman;serif" w:hAnsi="Times New Roman;serif"/>
          <w:b w:val="false"/>
          <w:color w:val="000000"/>
          <w:sz w:val="20"/>
        </w:rPr>
        <w:t>ASU 2024-03 is effective for the Company’s fiscal year ending September 30, 2027. Early adoption is permitted. The guidance allows for adoption using either a prospective or retrospective transition method. We are currently evaluating the impact that adopting this guidance will have on our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ASU No. 2025-06, Targeted Improvement to the Accounting for Internal-Use Software (Subtopic 350-40) related to capitalization of internal-use software costs. This amendment eliminates references to sequential software development stages and requires capitalization of internal-use software costs once management has authorized and committed to funding the software project and when the probability that the project will be completed and the software will be used to perform the function intended is evident. This new guidance is effective for annual and interim periods beginning in our fiscal year ending September 30, 2029 with early adoption permitted. This guidance will be applied using a prospective transition approach, with a modified retrospective or full retrospective transition approach permitted. Since the capitalization of internal-use software costs generally will not change significantly for most types of software under the amendments in this guidance, we do not expect adoption of this ASU to have a material impact on our financial condition or results of operations. We are currently evaluating the impact that adopting this guidance will have on our disclosures.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No. ASU 2025</w:t>
        <w:noBreakHyphen/>
        <w:t>09, Derivatives and Hedging (Topic 815): Hedge Accounting Improvements (“ASU 2025-09”), which amends certain hedge accounting guidance. Among other changes, this ASU permits groups of forecasted transactions in a designated cash flow hedging relationship using a single derivative to share similar risk characteristics versus the same risk characteristics as required under existing guidance. This new guidance is effective for annual and interim periods beginning in our fiscal year ending September 30, 2028 with early adoption permitted. This standard is to be applied on a prospective basis for all hedging relationships and early adoption is permitted. We do not expect adoption of this ASU to have a material impact on our financial condition or results of operations. We are currently evaluating the impact that adopting this guidance will have on our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Non-GAAP Financial Information</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net income to EBITDA and Adjusted EBITDA.</w:t>
      </w:r>
    </w:p>
    <w:tbl>
      <w:tblPr>
        <w:tblW w:w="6712" w:type="dxa"/>
        <w:jc w:val="left"/>
        <w:tblInd w:w="0" w:type="dxa"/>
        <w:tblLayout w:type="fixed"/>
        <w:tblCellMar>
          <w:top w:w="28" w:type="dxa"/>
          <w:left w:w="28" w:type="dxa"/>
          <w:bottom w:w="28" w:type="dxa"/>
          <w:right w:w="28" w:type="dxa"/>
        </w:tblCellMar>
      </w:tblPr>
      <w:tblGrid>
        <w:gridCol w:w="1238"/>
        <w:gridCol w:w="1087"/>
        <w:gridCol w:w="1095"/>
        <w:gridCol w:w="196"/>
        <w:gridCol w:w="556"/>
        <w:gridCol w:w="109"/>
        <w:gridCol w:w="109"/>
        <w:gridCol w:w="109"/>
        <w:gridCol w:w="109"/>
        <w:gridCol w:w="290"/>
        <w:gridCol w:w="290"/>
        <w:gridCol w:w="291"/>
        <w:gridCol w:w="109"/>
        <w:gridCol w:w="109"/>
        <w:gridCol w:w="109"/>
        <w:gridCol w:w="196"/>
        <w:gridCol w:w="55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December 31,</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8"/>
              </w:rPr>
              <w:t>(in millions)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EBITDA</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attributable to trading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losses (gains),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EBITDA, a non-GAAP measure used to measure operating performance, is defined as net income plus interest expense, depreciation and amortization, and income tax expense. Adjusted EBITDA represents EBITDA plus amortization of share-based compensation and less interest expenses attributable to trading activities, including the credit facilities of our subsidiaries, gain on acquisitions, and other non-recurring gains and losses, net.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Each of the EBITDA-based measures described above is not a presentation made in accordance with GAAP and should not be considered as an alternative to net income or any other performance measures derived in accordance with GAAP as a measure of operating performance or to cash flows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GAAP.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EBITDA-based measures may not be comparable to other similarly titled measures of other companies. </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 Company believes EBITDA is helpful in highlighting the business’s trends because EBITDA excludes the results of decisions that are outside the control of management and can differ significantly from company to company depending on long-term strategic decisions regarding capital structure, the tax jurisdictions in which companies operate and capital investments. In addition, we believe EBITDA may provide more comparability between the historical operating results that reflect purchase accounting and the new capital 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also Note 4 to the condensed consolidated financial statements, “Financial Instruments with Off-Balance Sheet Risk and Concentrations of Credit Risk”.</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Market Risk</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We conduct our market-making and trading activities predominantly as a principal, which subjects our capital to significant risks. These risks include, but are not limited to, absolute and relative price movements, price volatility and changes in liquidity, over which we have virtually no control. Our exposure to market risk varies in accordance with the volume of client-driven market-making transactions, the size of the proprietary positions and the volatility of the financial instruments traded.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seek to mitigate exposure to market risk by utilizing a variety of qualitative and quantitative techniques: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Diversification of business activities and instruments;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on positions;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Allocation of capital and limits based on estimated weighted risks;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Daily monitoring of positions and mark-to-market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utilize derivative products in a trading capacity as a dealer to satisfy client needs and mitigate risk. We manage risks from both derivatives and non-derivative cash instruments on a consolidated basis. The risks of derivatives should not be viewed in isolation, but in aggregate with our other trading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market risk in connection with our retail trading activities. Because we act as counterparty to our self-directed/retail clients’ transactions, we are exposed to risk on each trade that the value of our position will decline. Accordingly, accurate and efficient management of our net exposure is a high priority, and we have developed policies addressing both our automated and manual procedures to manage our exposure. These risk-management policies and procedures are established and reviewed regularly by the Risk Committee of our Board of Directors. Our risk-management policies require quantitative analyses by instrument, as well as assessment of a range of market inputs, including trade size, dealing rate, client margin and market liquidity. Our risk-management procedures require our team of senior traders to monitor risk exposure and update senior management both informally over the course of the trading day and formally through intraday and end of day reporting. A key component of our approach to managing market risk is that we do not initiate market positions for our own account in anticipation of future movements in the relative prices of products we offer.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volatility of revenues is a key indicator of the effectiveness of our risk management techniques. The graph below summarizes volatility of our daily revenue, determined on a marked-to-market basis, during the three months ended December 31, 2025.</w:t>
      </w:r>
    </w:p>
    <w:p>
      <w:pPr>
        <w:pStyle w:val="TextBody"/>
        <w:bidi w:val="0"/>
        <w:spacing w:before="120" w:after="283"/>
        <w:jc w:val="left"/>
        <w:rPr/>
      </w:pPr>
      <w:r>
        <w:rPr/>
        <w:drawing>
          <wp:inline distT="0" distB="0" distL="0" distR="0">
            <wp:extent cx="6515100" cy="3657600"/>
            <wp:effectExtent l="0" t="0" r="0" b="0"/>
            <wp:docPr id="6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 descr=""/>
                    <pic:cNvPicPr>
                      <a:picLocks noChangeAspect="1" noChangeArrowheads="1"/>
                    </pic:cNvPicPr>
                  </pic:nvPicPr>
                  <pic:blipFill>
                    <a:blip r:embed="rId3"/>
                    <a:stretch>
                      <a:fillRect/>
                    </a:stretch>
                  </pic:blipFill>
                  <pic:spPr bwMode="auto">
                    <a:xfrm>
                      <a:off x="0" y="0"/>
                      <a:ext cx="6515100" cy="3657600"/>
                    </a:xfrm>
                    <a:prstGeom prst="rect">
                      <a:avLst/>
                    </a:prstGeom>
                  </pic:spPr>
                </pic:pic>
              </a:graphicData>
            </a:graphic>
          </wp:inline>
        </w:drawing>
      </w:r>
      <w:bookmarkStart w:id="1" w:name="i-2"/>
      <w:bookmarkEnd w:id="1"/>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graph above includes unrealized price movements in our precious metals inventories and related futures hedge positions during the period in which we experienced temporary dislocations in published London spot market cash prices and Comex-listed gold and silver futures contracts, related to potential tariffs to be imposed by the U.S. government on imported metals.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securities market-making and trading activities, we maintain inventories of equity and debt securities. In our Commercial segment, our positions include physical commodities inventories, precious metals on lease, forwards, futures and options on futures, and OTC derivatives. Our commodity trading activities are managed as one consolidated book for each commodity encompassing both cash positions and derivative instruments. We monitor the aggregate position for each commodity in equivalent physical ounces, metric tons, or other relevant unit.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operations, we have interest rate risk from the possibility that changes in interest rates will affect the values of financial instruments and impact interest income earned. Within our domestic institutional dealer in fixed income securities business, we maintain a significant amount of trading assets and liabilities which are sensitive to changes in interest rates. These trading activities primarily consist of securities trading in connection with U.S. Treasury, U.S. government agency, agency mortgage-backed and agency asset-backed obligations, as well as investment grade, high-yield, convertible and emerging markets debt securities. Derivative instruments, which consist of futures, TBA securities and forward settling transactions, are used to manage risk exposures in the trading inventory. We enter into TBA securities transactions for the sole purpose of managing risk associated with mortgage-backed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color w:val="000000"/>
          <w:sz w:val="20"/>
        </w:rPr>
        <w:t>In addition, we generate interest income from the positive spread earned on client deposits. We typically invest in U.S. Treasury bills, notes, and obligations issued by government sponsored entities, reverse repurchase agreements involving U.S. Treasury bills and government obligations or AA-rated money market funds. In some instances, we maintain interest earning cash deposits with banks, clearing organizations and counterparties. We have an investment policy which establishes acceptable standards of credit quality and limits the amount of funds that can be invested within a particular fund, institution, clearing organization or counterparty. We estimate that as of December 31, 2025, an immediate 25 basis point decrease in short-term interest rates would result in approximately</w:t>
      </w:r>
      <w:r>
        <w:rPr>
          <w:color w:val="000000"/>
          <w:shd w:fill="FFFFFF" w:val="clear"/>
        </w:rPr>
        <w:t xml:space="preserve"> </w:t>
      </w:r>
      <w:r>
        <w:rPr>
          <w:rFonts w:ascii="Times New Roman;serif" w:hAnsi="Times New Roman;serif"/>
          <w:b w:val="false"/>
          <w:color w:val="000000"/>
          <w:sz w:val="20"/>
          <w:shd w:fill="FFFFFF" w:val="clear"/>
        </w:rPr>
        <w:t>$10.8 million</w:t>
      </w:r>
      <w:r>
        <w:rPr>
          <w:color w:val="000000"/>
        </w:rPr>
        <w:t xml:space="preserve"> </w:t>
      </w:r>
      <w:r>
        <w:rPr>
          <w:rFonts w:ascii="Times New Roman;serif" w:hAnsi="Times New Roman;serif"/>
          <w:b w:val="false"/>
          <w:color w:val="000000"/>
          <w:sz w:val="20"/>
        </w:rPr>
        <w:t>less in annual net income.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manage interest expense using a combination of variable and fixed rate debt. The debt instruments are carried at their unpaid principal balance which approximates fair value. As of December 31, 2025, $488.8 million of outstanding principal debt was variable-rate debt. We are subject to earnings and liquidity risks for changes in the interest rate on this debt. As of December 31, 2025, $1,175.0 million of outstanding principal debt was fixed-rate long-term debt.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Foreign Currency Risk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Currency risk arises from the possibility that fluctuations in foreign exchange rates will impact the value of our earnings and assets. Entities that have assets and liabilities denominated in currencies other than the primary economic environment in which the entity operates are subject to remeasurement. Principally, all sales are denominated in the currency of the subsidiary, while related operating costs are denominated in the currency of the local country and translated into USD for consolidated reporting purposes. Although the majority of the assets and liabilities of these subsidiaries are denominated in the functional currency of the subsidiary, they may also hold assets or liabilities denominated in other currencies. As a result, our results of operations and financial position are exposed to changing currency rates. We have executed hedging transactions in relation to certain currencies to mitigate our exposure to volatility in certain foreign currency exchange rates. From time to time, we may consider entering into larger hedges in certain contracts or hedging transactions in additional currencies to mitigate our exposure to more foreign currency exchange rates. These hedging transactions may not be successful.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filing of this Form 10-Q, our management, including the Chief Executive Officer and Chief Financial Officer, evaluated the effectiveness of the design and operation of our disclosure controls and procedures (as such term is defined in Rules 13a-15(e) and 15d-15(e) under the Exchange Act) as of December 31, 2025. Based on such evaluation, our Chief Executive Officer and Chief Financial Officer have concluded that our disclosure controls and procedures were effective to provide reasonable assurance that their objectives were met as of December 31,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are limitations inherent in any internal control, such as the possibility of human error and the circumvention or overriding of controls. A control system, no matter how well conceived and operated, can provide only reasonable, not absolute, assurance that the objectives of the control system are met, and may not prevent or detect misstatements. As conditions change over time, so too may the effectiveness of internal controls. As a result, there can be no assurance that a control system will succeed in preventing all possible instances of error and fraud. Our disclosure controls and procedures are designed to provide reasonable assurance of achieving their objectives, and the conclusions of our Chief Executive Officer and Chief Financial Officer are made at the “reasonable assurance” level.</w:t>
      </w:r>
    </w:p>
    <w:p>
      <w:pPr>
        <w:pStyle w:val="TextBody"/>
        <w:bidi w:val="0"/>
        <w:spacing w:lineRule="auto" w:line="288" w:before="120" w:after="18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ended December 31, 2025, except as discussed below, that materially affected, or are reasonably likely to materially affect, our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During the quarter ended December 31, 2025, Management integrated the internal control structure of RJO, which was acquired on July 31, 2025, into its internal control environment. As a result, RJO has been included in management’s assessment of internal control over financial reporting for the first time in this quarterly period. Key integrations assessed during the quarter include controls around accounting policies, general ledger reconciliations, and financial statement disclosure.</w:t>
      </w:r>
    </w:p>
    <w:p>
      <w:pPr>
        <w:pStyle w:val="TextBody"/>
        <w:bidi w:val="0"/>
        <w:spacing w:lineRule="auto" w:line="288" w:before="120" w:after="120"/>
        <w:jc w:val="left"/>
        <w:rPr/>
      </w:pPr>
      <w:r>
        <w:rPr>
          <w:rFonts w:ascii="Times New Roman;serif" w:hAnsi="Times New Roman;serif"/>
          <w:b w:val="false"/>
          <w:color w:val="000000"/>
          <w:sz w:val="20"/>
        </w:rPr>
        <w:t xml:space="preserve">During the quarter ended December 31, 2025, Management </w:t>
      </w:r>
      <w:r>
        <w:rPr>
          <w:rFonts w:ascii="Times New Roman;serif" w:hAnsi="Times New Roman;serif"/>
          <w:b w:val="false"/>
          <w:color w:val="000000"/>
          <w:sz w:val="20"/>
          <w:shd w:fill="FFFFFF" w:val="clear"/>
        </w:rPr>
        <w:t xml:space="preserve">redesigned the process to automate the calculation of offsetting amounts of collateralized transactions with the same counterparty, to ensure proper presentation of “securities purchased under agreements to resell” and “securities sold under agreements to repurchase” within the Company’s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information regarding certain legal proceedings to which we are currently a party, see Note 11, “Commitments and Contingencies” in the notes to our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other information set forth in this report, information regarding risks affecting us appears in Part I, Item 1A of our Annual Report on Form 10-K for the fiscal year ended September 30, 2025. These are not the only risks we face. Additional risks and uncertainties not currently known to us or that management currently considers to be non-material may in the future adversely affect our business, financial condition and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2025, our Board of Directors authorized the repurchase of up to 2.25 million shares of our outstanding common stock from time to time in open market purchases and private transactions, commencing on October 1, 2025 and ending on September 30, 2026. The repurchases are subject to the discretion of the senior management team to implement our stock repurchase plan, and subject to market conditions and as permitted by securities laws and other legal, regulatory and contractual requirements and covenants. </w:t>
      </w:r>
    </w:p>
    <w:p>
      <w:pPr>
        <w:pStyle w:val="TextBody"/>
        <w:bidi w:val="0"/>
        <w:spacing w:lineRule="auto" w:line="288" w:before="60" w:after="120"/>
        <w:jc w:val="left"/>
        <w:rPr>
          <w:rFonts w:ascii="Times New Roman;serif" w:hAnsi="Times New Roman;serif"/>
          <w:b w:val="false"/>
          <w:color w:val="000000"/>
          <w:sz w:val="20"/>
        </w:rPr>
      </w:pPr>
      <w:r>
        <w:rPr>
          <w:rFonts w:ascii="Times New Roman;serif" w:hAnsi="Times New Roman;serif"/>
          <w:b w:val="false"/>
          <w:color w:val="000000"/>
          <w:sz w:val="20"/>
        </w:rPr>
        <w:t>Our common stock repurchase activity for the three months ended December 31, 2025 was as follows:</w:t>
      </w:r>
    </w:p>
    <w:tbl>
      <w:tblPr>
        <w:tblW w:w="10205" w:type="dxa"/>
        <w:jc w:val="left"/>
        <w:tblInd w:w="0" w:type="dxa"/>
        <w:tblLayout w:type="fixed"/>
        <w:tblCellMar>
          <w:top w:w="28" w:type="dxa"/>
          <w:left w:w="28" w:type="dxa"/>
          <w:bottom w:w="28" w:type="dxa"/>
          <w:right w:w="28" w:type="dxa"/>
        </w:tblCellMar>
      </w:tblPr>
      <w:tblGrid>
        <w:gridCol w:w="634"/>
        <w:gridCol w:w="439"/>
        <w:gridCol w:w="447"/>
        <w:gridCol w:w="536"/>
        <w:gridCol w:w="480"/>
        <w:gridCol w:w="482"/>
        <w:gridCol w:w="111"/>
        <w:gridCol w:w="111"/>
        <w:gridCol w:w="111"/>
        <w:gridCol w:w="293"/>
        <w:gridCol w:w="833"/>
        <w:gridCol w:w="163"/>
        <w:gridCol w:w="111"/>
        <w:gridCol w:w="111"/>
        <w:gridCol w:w="111"/>
        <w:gridCol w:w="764"/>
        <w:gridCol w:w="764"/>
        <w:gridCol w:w="767"/>
        <w:gridCol w:w="111"/>
        <w:gridCol w:w="111"/>
        <w:gridCol w:w="111"/>
        <w:gridCol w:w="926"/>
        <w:gridCol w:w="685"/>
        <w:gridCol w:w="993"/>
      </w:tblGrid>
      <w:tr>
        <w:trPr/>
        <w:tc>
          <w:tcPr>
            <w:tcW w:w="6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Period</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Remaining to be Purchased Under the Program</w:t>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October 1, 2025 to October 31, 2025</w:t>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31,540 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2,250,000 </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November 1, 2025 to November 30, 2025</w:t>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2,250,000 </w:t>
            </w:r>
          </w:p>
        </w:tc>
        <w:tc>
          <w:tcPr>
            <w:tcW w:w="9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December 1, 2025 to December 31, 2025</w:t>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2,250,000 </w:t>
            </w:r>
          </w:p>
        </w:tc>
        <w:tc>
          <w:tcPr>
            <w:tcW w:w="9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0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64,020 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95.46 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2022 Omnibus Incentive Compensation Plan allows for “withhold to cover” as a tax payment method for vesting of restricted stock awards. Pursuant to the “withhold to cover” method, we withheld from certain employees shares noted in the table above to cover tax withholding related to the vesting of their awards.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120" w:after="18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none of our directors or officers (as defined in Rule 16a-1(f) of the Exchange Act) adopted or terminated a “Rule 10b5-1 trading arrangement” or “non-Rule 10b5-1 trading arrangement,” as each term is defined in Item 408 of Regulation S-K, except as described below.</w:t>
      </w:r>
    </w:p>
    <w:tbl>
      <w:tblPr>
        <w:tblW w:w="10205" w:type="dxa"/>
        <w:jc w:val="left"/>
        <w:tblInd w:w="0" w:type="dxa"/>
        <w:tblLayout w:type="fixed"/>
        <w:tblCellMar>
          <w:top w:w="28" w:type="dxa"/>
          <w:left w:w="28" w:type="dxa"/>
          <w:bottom w:w="28" w:type="dxa"/>
          <w:right w:w="28" w:type="dxa"/>
        </w:tblCellMar>
      </w:tblPr>
      <w:tblGrid>
        <w:gridCol w:w="609"/>
        <w:gridCol w:w="381"/>
        <w:gridCol w:w="368"/>
        <w:gridCol w:w="109"/>
        <w:gridCol w:w="109"/>
        <w:gridCol w:w="109"/>
        <w:gridCol w:w="471"/>
        <w:gridCol w:w="471"/>
        <w:gridCol w:w="431"/>
        <w:gridCol w:w="109"/>
        <w:gridCol w:w="109"/>
        <w:gridCol w:w="109"/>
        <w:gridCol w:w="295"/>
        <w:gridCol w:w="295"/>
        <w:gridCol w:w="296"/>
        <w:gridCol w:w="109"/>
        <w:gridCol w:w="109"/>
        <w:gridCol w:w="109"/>
        <w:gridCol w:w="354"/>
        <w:gridCol w:w="354"/>
        <w:gridCol w:w="355"/>
        <w:gridCol w:w="109"/>
        <w:gridCol w:w="109"/>
        <w:gridCol w:w="109"/>
        <w:gridCol w:w="615"/>
        <w:gridCol w:w="501"/>
        <w:gridCol w:w="503"/>
        <w:gridCol w:w="109"/>
        <w:gridCol w:w="109"/>
        <w:gridCol w:w="109"/>
        <w:gridCol w:w="661"/>
        <w:gridCol w:w="661"/>
        <w:gridCol w:w="949"/>
      </w:tblGrid>
      <w:tr>
        <w:trPr/>
        <w:tc>
          <w:tcPr>
            <w:tcW w:w="6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Duration or 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Number of Securities to be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Trading Arrangement</w:t>
            </w:r>
          </w:p>
        </w:tc>
      </w:tr>
      <w:tr>
        <w:trPr/>
        <w:tc>
          <w:tcPr>
            <w:tcW w:w="13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Philip Smith - 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Rule 10b5-1 trading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04/10/2026 to 12/4/2026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150,050 </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Sales of shares and exercise of stock options and sale of underlying shares</w:t>
            </w:r>
          </w:p>
        </w:tc>
      </w:tr>
      <w:tr>
        <w:trPr/>
        <w:tc>
          <w:tcPr>
            <w:tcW w:w="13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Annabelle G. Bexiga -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Rule 10b5-1 trading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3/13/2026 to 07/15/2026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Sales of shares</w:t>
            </w:r>
          </w:p>
        </w:tc>
      </w:tr>
    </w:tbl>
    <w:p>
      <w:pPr>
        <w:pStyle w:val="TextBody"/>
        <w:bidi w:val="0"/>
        <w:spacing w:before="60" w:after="120"/>
        <w:jc w:val="left"/>
        <w:rPr/>
      </w:pPr>
      <w:r>
        <w:rPr/>
      </w:r>
    </w:p>
    <w:p>
      <w:pPr>
        <w:pStyle w:val="TextBody"/>
        <w:bidi w:val="0"/>
        <w:spacing w:before="60" w:after="1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41"/>
        <w:gridCol w:w="188"/>
        <w:gridCol w:w="191"/>
        <w:gridCol w:w="109"/>
        <w:gridCol w:w="109"/>
        <w:gridCol w:w="109"/>
        <w:gridCol w:w="2816"/>
        <w:gridCol w:w="2667"/>
        <w:gridCol w:w="3775"/>
      </w:tblGrid>
      <w:tr>
        <w:trPr/>
        <w:tc>
          <w:tcPr>
            <w:tcW w:w="2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5"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8" w:type="dxa"/>
            <w:gridSpan w:val="3"/>
            <w:tcBorders/>
            <w:vAlign w:val="center"/>
          </w:tcPr>
          <w:p>
            <w:pPr>
              <w:pStyle w:val="TableContents"/>
              <w:bidi w:val="0"/>
              <w:spacing w:before="0" w:after="283"/>
              <w:jc w:val="left"/>
              <w:rPr>
                <w:sz w:val="4"/>
                <w:szCs w:val="4"/>
              </w:rPr>
            </w:pPr>
            <w:r>
              <w:rPr>
                <w:sz w:val="4"/>
                <w:szCs w:val="4"/>
              </w:rPr>
            </w:r>
          </w:p>
        </w:tc>
      </w:tr>
      <w:tr>
        <w:trPr/>
        <w:tc>
          <w:tcPr>
            <w:tcW w:w="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8" w:type="dxa"/>
            <w:gridSpan w:val="3"/>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2026exh311q1roll.htm">
              <w:r>
                <w:rPr>
                  <w:rStyle w:val="InternetLink"/>
                  <w:rFonts w:ascii="Times New Roman;serif" w:hAnsi="Times New Roman;serif"/>
                  <w:b w:val="false"/>
                  <w:color w:val="0000FF"/>
                  <w:sz w:val="18"/>
                  <w:u w:val="single"/>
                </w:rPr>
                <w:t>Certification of Chief Executive Officer, pursuant to Rule 13a-14(a).</w:t>
              </w:r>
            </w:hyperlink>
            <w:r>
              <w:rPr>
                <w:rFonts w:ascii="Times New Roman;serif" w:hAnsi="Times New Roman;serif"/>
                <w:b w:val="false"/>
                <w:color w:val="000000"/>
                <w:sz w:val="18"/>
              </w:rPr>
              <w: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2026exh312q1roll.htm">
              <w:r>
                <w:rPr>
                  <w:rStyle w:val="InternetLink"/>
                  <w:rFonts w:ascii="Times New Roman;serif" w:hAnsi="Times New Roman;serif"/>
                  <w:b w:val="false"/>
                  <w:color w:val="0000FF"/>
                  <w:sz w:val="18"/>
                  <w:u w:val="single"/>
                </w:rPr>
                <w:t>Certification of Chief Financial Officer, pursuant to Rule 13a-14(a).</w:t>
              </w:r>
            </w:hyperlink>
            <w:r>
              <w:rPr>
                <w:rFonts w:ascii="Times New Roman;serif" w:hAnsi="Times New Roman;serif"/>
                <w:b w:val="false"/>
                <w:color w:val="000000"/>
                <w:sz w:val="18"/>
              </w:rPr>
              <w: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2026exh321q1roll.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r>
              <w:rPr>
                <w:rFonts w:ascii="Times New Roman;serif" w:hAnsi="Times New Roman;serif"/>
                <w:b w:val="false"/>
                <w:color w:val="000000"/>
                <w:sz w:val="18"/>
              </w:rPr>
              <w:t>* #</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nex2026exh322q1roll.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r>
              <w:rPr>
                <w:rFonts w:ascii="Times New Roman;serif" w:hAnsi="Times New Roman;serif"/>
                <w:b w:val="false"/>
                <w:color w:val="000000"/>
                <w:sz w:val="18"/>
              </w:rPr>
              <w:t>* #</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(the instance document does not appear in the Interactive Data File because its XBRL tags are embedded within the Inline XBRL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Filed as part of this report.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This certification is deemed not filed for purposes of Section 18 of the Exchange Act, or otherwise subject to the liability of that section, nor shall it be deemed incorporated by reference into any filing under the Securities Act of 1933, as amended, or the Exchange Act.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StoneX Group Inc.</w:t>
      </w:r>
    </w:p>
    <w:p>
      <w:pPr>
        <w:pStyle w:val="TextBody"/>
        <w:bidi w:val="0"/>
        <w:spacing w:lineRule="auto" w:line="288" w:before="0" w:after="0"/>
        <w:jc w:val="left"/>
        <w:rPr>
          <w:color w:val="000000"/>
        </w:rPr>
      </w:pPr>
      <w:r>
        <w:rPr>
          <w:color w:val="000000"/>
        </w:rPr>
        <w:t> </w:t>
      </w:r>
    </w:p>
    <w:tbl>
      <w:tblPr>
        <w:tblW w:w="4763" w:type="dxa"/>
        <w:jc w:val="left"/>
        <w:tblInd w:w="0" w:type="dxa"/>
        <w:tblLayout w:type="fixed"/>
        <w:tblCellMar>
          <w:top w:w="28" w:type="dxa"/>
          <w:left w:w="28" w:type="dxa"/>
          <w:bottom w:w="28" w:type="dxa"/>
          <w:right w:w="28" w:type="dxa"/>
        </w:tblCellMar>
      </w:tblPr>
      <w:tblGrid>
        <w:gridCol w:w="200"/>
        <w:gridCol w:w="177"/>
        <w:gridCol w:w="178"/>
        <w:gridCol w:w="494"/>
        <w:gridCol w:w="494"/>
        <w:gridCol w:w="496"/>
        <w:gridCol w:w="109"/>
        <w:gridCol w:w="109"/>
        <w:gridCol w:w="109"/>
        <w:gridCol w:w="674"/>
        <w:gridCol w:w="674"/>
        <w:gridCol w:w="67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Dunaway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Dunaway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SECTION 302 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Philip A. Smith,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StoneX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180" w:after="9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085" w:type="dxa"/>
        <w:jc w:val="center"/>
        <w:tblInd w:w="0" w:type="dxa"/>
        <w:tblLayout w:type="fixed"/>
        <w:tblCellMar>
          <w:top w:w="28" w:type="dxa"/>
          <w:left w:w="28" w:type="dxa"/>
          <w:bottom w:w="28" w:type="dxa"/>
          <w:right w:w="28" w:type="dxa"/>
        </w:tblCellMar>
      </w:tblPr>
      <w:tblGrid>
        <w:gridCol w:w="200"/>
        <w:gridCol w:w="177"/>
        <w:gridCol w:w="178"/>
        <w:gridCol w:w="448"/>
        <w:gridCol w:w="448"/>
        <w:gridCol w:w="6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A. SMITH</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A. Smith</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SECTION 302 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William J. Dunaway certify that: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StoneX Group Inc.;</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9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90" w:after="283"/>
        <w:ind w:left="0" w:right="0" w:hanging="27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9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9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90" w:after="18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9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9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200"/>
        <w:gridCol w:w="177"/>
        <w:gridCol w:w="178"/>
        <w:gridCol w:w="448"/>
        <w:gridCol w:w="448"/>
        <w:gridCol w:w="63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4, 2026</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DUNAWAY</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Dunaway</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StoneX Group Inc. (the Company) on Form 10-Q for the period ended December 31, 2025 as filed with the Securities and Exchange Commission on the date hereof (the Report), I, Philip A. Smith, Chief Executive Officer of the Company, certify, pursuant to 18 U.S.C. § 1350, as adopted pursuant to § 906 of the Sarbanes-Oxley Act of 2002, that to the best of my knowledge: </w:t>
      </w:r>
    </w:p>
    <w:p>
      <w:pPr>
        <w:pStyle w:val="TextBody"/>
        <w:bidi w:val="0"/>
        <w:spacing w:lineRule="auto" w:line="288" w:before="180" w:after="283"/>
        <w:ind w:left="0" w:right="0" w:hanging="36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February 4, 2026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A. SMITH</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A. Smith</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StoneX Group Inc. (the Company) on Form 10-Q for the period ended December 31, 2025 as filed with the Securities and Exchange Commission on the date hereof (the Report), I, William J. Dunaway, Chief Financial Officer of the Company, certify, pursuant to 18 U.S.C. § 1350, as adopted pursuant to § 906 of the Sarbanes-Oxley Act of 2002, that to the best of my knowledge: </w:t>
      </w:r>
    </w:p>
    <w:p>
      <w:pPr>
        <w:pStyle w:val="TextBody"/>
        <w:bidi w:val="0"/>
        <w:spacing w:lineRule="auto" w:line="288" w:before="180" w:after="283"/>
        <w:ind w:left="0" w:right="0" w:hanging="360"/>
        <w:jc w:val="left"/>
        <w:rPr/>
      </w:pPr>
      <w:r>
        <w:rPr>
          <w:rFonts w:ascii="Times New Roman;serif" w:hAnsi="Times New Roman;serif"/>
          <w:b w:val="false"/>
          <w:color w:val="000000"/>
          <w:sz w:val="20"/>
        </w:rPr>
        <w:t>(1)</w:t>
      </w:r>
      <w:r>
        <w:rPr>
          <w:color w:val="000000"/>
        </w:rPr>
        <w:t xml:space="preserve"> </w:t>
      </w:r>
      <w:r>
        <w:rPr>
          <w:rFonts w:ascii="Times New Roman;serif" w:hAnsi="Times New Roman;serif"/>
          <w:b w:val="false"/>
          <w:color w:val="000000"/>
          <w:sz w:val="20"/>
        </w:rPr>
        <w:t xml:space="preserve">The Report fully complies with the requirements of section 13(a) or 15(d) of the Securities Exchange Act of 1934; and </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February 4, 2026 </w:t>
      </w:r>
    </w:p>
    <w:p>
      <w:pPr>
        <w:pStyle w:val="TextBody"/>
        <w:bidi w:val="0"/>
        <w:spacing w:lineRule="auto" w:line="288" w:before="0" w:after="0"/>
        <w:jc w:val="left"/>
        <w:rPr>
          <w:color w:val="000000"/>
        </w:rPr>
      </w:pPr>
      <w:r>
        <w:rPr>
          <w:color w:val="000000"/>
        </w:rPr>
        <w:t> </w:t>
      </w:r>
    </w:p>
    <w:tbl>
      <w:tblPr>
        <w:tblW w:w="2459" w:type="dxa"/>
        <w:jc w:val="left"/>
        <w:tblInd w:w="0" w:type="dxa"/>
        <w:tblLayout w:type="fixed"/>
        <w:tblCellMar>
          <w:top w:w="28" w:type="dxa"/>
          <w:left w:w="28" w:type="dxa"/>
          <w:bottom w:w="28" w:type="dxa"/>
          <w:right w:w="28" w:type="dxa"/>
        </w:tblCellMar>
      </w:tblPr>
      <w:tblGrid>
        <w:gridCol w:w="787"/>
        <w:gridCol w:w="691"/>
        <w:gridCol w:w="981"/>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DUNAWAY</w:t>
            </w:r>
          </w:p>
        </w:tc>
      </w:tr>
      <w:tr>
        <w:trPr/>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Dunaway</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this written statement required by Section 906 or other document authenticating, acknowledging or otherwise adopting the signature that appears in typed form within the electronic version of this written statement required by Section 906, has been provided to StoneX Group Inc. and will be retained by StoneX Group Inc. and furnished to the Securities and Exchange Commission or its staff upon request.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35085</Words>
  <Characters>200967</Characters>
  <CharactersWithSpaces>233776</CharactersWithSpaces>
  <Paragraphs>5243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